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B5B12D" w14:textId="77777777" w:rsidR="000569B9" w:rsidRDefault="000569B9" w:rsidP="000569B9">
      <w:pPr>
        <w:spacing w:line="480" w:lineRule="auto"/>
        <w:jc w:val="center"/>
        <w:rPr>
          <w:rFonts w:ascii="Times New Roman" w:eastAsia="Times New Roman" w:hAnsi="Times New Roman" w:cs="Times New Roman"/>
          <w:b/>
          <w:sz w:val="24"/>
          <w:szCs w:val="24"/>
        </w:rPr>
      </w:pPr>
    </w:p>
    <w:p w14:paraId="355AEDA8" w14:textId="77777777" w:rsidR="000569B9" w:rsidRDefault="000569B9" w:rsidP="000569B9">
      <w:pPr>
        <w:spacing w:line="480" w:lineRule="auto"/>
        <w:jc w:val="center"/>
        <w:rPr>
          <w:rFonts w:ascii="Times New Roman" w:eastAsia="Times New Roman" w:hAnsi="Times New Roman" w:cs="Times New Roman"/>
          <w:b/>
          <w:sz w:val="24"/>
          <w:szCs w:val="24"/>
        </w:rPr>
      </w:pPr>
    </w:p>
    <w:p w14:paraId="7C5C057E" w14:textId="77777777" w:rsidR="000569B9" w:rsidRDefault="000569B9" w:rsidP="000569B9">
      <w:pPr>
        <w:spacing w:line="480" w:lineRule="auto"/>
        <w:jc w:val="center"/>
        <w:rPr>
          <w:rFonts w:ascii="Times New Roman" w:eastAsia="Times New Roman" w:hAnsi="Times New Roman" w:cs="Times New Roman"/>
          <w:b/>
          <w:sz w:val="24"/>
          <w:szCs w:val="24"/>
        </w:rPr>
      </w:pPr>
    </w:p>
    <w:p w14:paraId="714BAD34" w14:textId="77777777" w:rsidR="000569B9" w:rsidRDefault="000569B9" w:rsidP="000569B9">
      <w:pPr>
        <w:spacing w:line="480" w:lineRule="auto"/>
        <w:jc w:val="center"/>
        <w:rPr>
          <w:rFonts w:ascii="Times New Roman" w:eastAsia="Times New Roman" w:hAnsi="Times New Roman" w:cs="Times New Roman"/>
          <w:b/>
          <w:sz w:val="24"/>
          <w:szCs w:val="24"/>
        </w:rPr>
      </w:pPr>
    </w:p>
    <w:p w14:paraId="7F409C72" w14:textId="77777777" w:rsidR="000569B9" w:rsidRDefault="000569B9" w:rsidP="000569B9">
      <w:pPr>
        <w:spacing w:line="480" w:lineRule="auto"/>
        <w:jc w:val="center"/>
        <w:rPr>
          <w:rFonts w:ascii="Times New Roman" w:eastAsia="Times New Roman" w:hAnsi="Times New Roman" w:cs="Times New Roman"/>
          <w:b/>
          <w:sz w:val="24"/>
          <w:szCs w:val="24"/>
        </w:rPr>
      </w:pPr>
    </w:p>
    <w:p w14:paraId="6CBECBA8" w14:textId="77777777" w:rsidR="000569B9" w:rsidRDefault="000569B9" w:rsidP="000569B9">
      <w:pPr>
        <w:spacing w:line="480" w:lineRule="auto"/>
        <w:jc w:val="center"/>
        <w:rPr>
          <w:rFonts w:ascii="Times New Roman" w:eastAsia="Times New Roman" w:hAnsi="Times New Roman" w:cs="Times New Roman"/>
          <w:b/>
          <w:sz w:val="24"/>
          <w:szCs w:val="24"/>
        </w:rPr>
      </w:pPr>
    </w:p>
    <w:p w14:paraId="6E97CAD0" w14:textId="42D2E62B" w:rsidR="000569B9" w:rsidRDefault="00EA49E9" w:rsidP="000569B9">
      <w:pPr>
        <w:spacing w:line="48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Enhancing Engagement Through Peer Mentorship: An Inclusive Performing Arts Framework for Students with Disabilities</w:t>
      </w:r>
    </w:p>
    <w:p w14:paraId="504C8539" w14:textId="77777777" w:rsidR="000569B9" w:rsidRDefault="000569B9" w:rsidP="000569B9">
      <w:pPr>
        <w:spacing w:line="480" w:lineRule="auto"/>
        <w:jc w:val="center"/>
        <w:rPr>
          <w:rFonts w:ascii="Times New Roman" w:eastAsia="Times New Roman" w:hAnsi="Times New Roman" w:cs="Times New Roman"/>
          <w:sz w:val="24"/>
          <w:szCs w:val="24"/>
        </w:rPr>
      </w:pPr>
    </w:p>
    <w:p w14:paraId="229FB8B2" w14:textId="77777777" w:rsidR="000569B9" w:rsidRDefault="000569B9" w:rsidP="000569B9">
      <w:pPr>
        <w:spacing w:line="48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Erin Emery-Dumas</w:t>
      </w:r>
    </w:p>
    <w:p w14:paraId="647D4819" w14:textId="77777777" w:rsidR="000569B9" w:rsidRDefault="000569B9" w:rsidP="000569B9">
      <w:pPr>
        <w:spacing w:line="48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Department of Special Education, Western Michigan University</w:t>
      </w:r>
    </w:p>
    <w:p w14:paraId="3543D334" w14:textId="77777777" w:rsidR="000569B9" w:rsidRDefault="000569B9" w:rsidP="000569B9">
      <w:pPr>
        <w:spacing w:line="48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SPED 7115: Capstone in Special Education</w:t>
      </w:r>
    </w:p>
    <w:p w14:paraId="060A4FDB" w14:textId="77777777" w:rsidR="000569B9" w:rsidRDefault="000569B9" w:rsidP="000569B9">
      <w:pPr>
        <w:spacing w:line="48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Dr. Melissa Rajter</w:t>
      </w:r>
    </w:p>
    <w:p w14:paraId="3737C3A7" w14:textId="2A9788DF" w:rsidR="000569B9" w:rsidRDefault="000569B9" w:rsidP="000569B9">
      <w:pPr>
        <w:spacing w:line="48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April </w:t>
      </w:r>
      <w:r w:rsidR="00CC7001">
        <w:rPr>
          <w:rFonts w:ascii="Times New Roman" w:eastAsia="Times New Roman" w:hAnsi="Times New Roman" w:cs="Times New Roman"/>
          <w:sz w:val="24"/>
          <w:szCs w:val="24"/>
        </w:rPr>
        <w:t>6</w:t>
      </w:r>
      <w:r>
        <w:rPr>
          <w:rFonts w:ascii="Times New Roman" w:eastAsia="Times New Roman" w:hAnsi="Times New Roman" w:cs="Times New Roman"/>
          <w:sz w:val="24"/>
          <w:szCs w:val="24"/>
        </w:rPr>
        <w:t>, 2025</w:t>
      </w:r>
    </w:p>
    <w:p w14:paraId="570987A8" w14:textId="77777777" w:rsidR="000569B9" w:rsidRDefault="000569B9">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br w:type="page"/>
      </w:r>
    </w:p>
    <w:p w14:paraId="13009D0B" w14:textId="77777777" w:rsidR="00EA49E9" w:rsidRDefault="00EA49E9" w:rsidP="00EA49E9">
      <w:pPr>
        <w:spacing w:line="48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Enhancing Engagement Through Peer Mentorship: An Inclusive Performing Arts Framework for Students with Disabilities</w:t>
      </w:r>
    </w:p>
    <w:p w14:paraId="5E1F5EA4" w14:textId="77777777" w:rsidR="003E3DEF" w:rsidRDefault="003E3DEF" w:rsidP="00C04D28">
      <w:pPr>
        <w:spacing w:line="480" w:lineRule="auto"/>
        <w:rPr>
          <w:rFonts w:ascii="Times New Roman" w:eastAsia="Times New Roman" w:hAnsi="Times New Roman" w:cs="Times New Roman"/>
          <w:b/>
          <w:sz w:val="24"/>
          <w:szCs w:val="24"/>
        </w:rPr>
      </w:pPr>
    </w:p>
    <w:p w14:paraId="2E1F5C30" w14:textId="609C1004" w:rsidR="00C04D28" w:rsidRDefault="00C04D28" w:rsidP="000D15E7">
      <w:pPr>
        <w:spacing w:line="48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Introduction</w:t>
      </w:r>
    </w:p>
    <w:p w14:paraId="04206B11" w14:textId="77777777" w:rsidR="00C04D28" w:rsidRDefault="00C04D28" w:rsidP="00C04D28">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Musical theater provides a powerful tool for self-expression, social development, and confidence-building among students. However, students with disabilities often face barriers to participation in traditional performing arts programs. These barriers include limited adaptive resources, a lack of inclusive programming, and social stigma. To address these challenges, a peer mentor musical theater program could seek to create an inclusive environment where students with disabilities engage in musical theater with the support of trained peer mentors. Research has shown that structured peer mentorship programs can enhance self-efficacy, communication skills, and social-emotional growth among students with disabilities (Bowen &amp; Kisida, 2019). This study will explore how structured peer mentoring in a theater production could impact school engagement of students with disabilities, as well as the leadership development of their peer mentors. </w:t>
      </w:r>
    </w:p>
    <w:p w14:paraId="6AB8258B" w14:textId="77777777" w:rsidR="00C04D28" w:rsidRDefault="00C04D28" w:rsidP="00C04D28">
      <w:pPr>
        <w:spacing w:line="480" w:lineRule="auto"/>
        <w:rPr>
          <w:rFonts w:ascii="Times New Roman" w:eastAsia="Times New Roman" w:hAnsi="Times New Roman" w:cs="Times New Roman"/>
          <w:sz w:val="24"/>
          <w:szCs w:val="24"/>
        </w:rPr>
      </w:pPr>
    </w:p>
    <w:p w14:paraId="35853271" w14:textId="77777777" w:rsidR="00C04D28" w:rsidRDefault="00C04D28" w:rsidP="00C04D28">
      <w:pPr>
        <w:spacing w:line="48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Identification of the Problem</w:t>
      </w:r>
    </w:p>
    <w:p w14:paraId="51ECF6EF" w14:textId="77777777" w:rsidR="00C04D28" w:rsidRDefault="00C04D28" w:rsidP="00C04D28">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Students with disabilities often lack access to extracurricular activities, and arts programs in particular, due to logistical challenges, social barriers, and insufficient adaptive resources. The absence of inclusive performing arts opportunities limits their ability to develop communication, teamwork, and creative skills. All of these elements could lead to increased success in social skills development, academic growth, and overall engagement. This issue is directly related to teaching and learning, is within the control of educators, and can be improved through targeted </w:t>
      </w:r>
      <w:r>
        <w:rPr>
          <w:rFonts w:ascii="Times New Roman" w:eastAsia="Times New Roman" w:hAnsi="Times New Roman" w:cs="Times New Roman"/>
          <w:sz w:val="24"/>
          <w:szCs w:val="24"/>
        </w:rPr>
        <w:lastRenderedPageBreak/>
        <w:t xml:space="preserve">intervention and inclusion of students with disabilities alongside their grade-level peers. Implementing a structured peer mentor musical theater program offers a potential solution to this gap in arts education, fostering a more inclusive school culture while supporting students’ personal and social growth. </w:t>
      </w:r>
    </w:p>
    <w:p w14:paraId="0ACA1F85" w14:textId="77777777" w:rsidR="00C04D28" w:rsidRDefault="00C04D28" w:rsidP="00C04D28">
      <w:pPr>
        <w:spacing w:line="480" w:lineRule="auto"/>
        <w:rPr>
          <w:rFonts w:ascii="Times New Roman" w:eastAsia="Times New Roman" w:hAnsi="Times New Roman" w:cs="Times New Roman"/>
          <w:sz w:val="24"/>
          <w:szCs w:val="24"/>
        </w:rPr>
      </w:pPr>
    </w:p>
    <w:p w14:paraId="0727EBFD" w14:textId="77777777" w:rsidR="00C04D28" w:rsidRDefault="00C04D28" w:rsidP="00C04D28">
      <w:pPr>
        <w:spacing w:line="48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Initial Anecdotal Evidence</w:t>
      </w:r>
    </w:p>
    <w:p w14:paraId="21950501" w14:textId="77777777" w:rsidR="00C04D28" w:rsidRDefault="00C04D28" w:rsidP="00C04D28">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This problem is especially evident within Van Buren County, where traditional performing arts programs are not accessible for students with disabilities. The activities are audition-based, selecting students based on execution and past experiences, and often occur later in the evenings. The timing of rehearsals causes attendance barriers for students who are unable to drive themselves or do not have access to consistent transportation. Musical productions are also often too overstimulating for students with disabilities, discouraging them from auditioning in the first place. If the county worked together to create an accessible, equitable, and inclusive environment with the implementation of peer mentoring, more students with disabilities would be able to participate in extracurricular activities with their classmates.</w:t>
      </w:r>
    </w:p>
    <w:p w14:paraId="6CEDC4C3" w14:textId="77777777" w:rsidR="00C04D28" w:rsidRDefault="00C04D28" w:rsidP="00C04D28">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Observations from educators and existing research indicate that students with disabilities benefit from participation in the arts but often lack access to appropriate programs. Teachers report that these students struggle with social interaction and confidence in school settings. A lack of structured peer support often leads to isolation and limited participation in extracurricular activities (Carter, 2021). Meanwhile, peer mentoring has been shown to increase social inclusion and engagement in various academic contexts (Garringer &amp; MacRae, 2008). Research suggests that participation in the arts positively affects cognitive, social, and motor development in children with disabilities, yet schools often do not provide sufficient access (Ewing, 2010). </w:t>
      </w:r>
      <w:r>
        <w:rPr>
          <w:rFonts w:ascii="Times New Roman" w:eastAsia="Times New Roman" w:hAnsi="Times New Roman" w:cs="Times New Roman"/>
          <w:sz w:val="24"/>
          <w:szCs w:val="24"/>
        </w:rPr>
        <w:lastRenderedPageBreak/>
        <w:t>Additionally, inspiration from the Kalamazoo Civic Theater’s chapter of the Penguin Project, which successfully integrates students with disabilities into musical theater productions, suggests that a similar approach in Van Buren County could provide meaningful opportunities for these students. By implementing a structured peer mentorship model, students with disabilities would have the opportunity to collaborate with their peers, build friendships, and develop confidence in an inclusive performing arts environment.</w:t>
      </w:r>
    </w:p>
    <w:p w14:paraId="78A25F07" w14:textId="77777777" w:rsidR="00C04D28" w:rsidRDefault="00C04D28" w:rsidP="00C04D28">
      <w:pPr>
        <w:spacing w:line="480" w:lineRule="auto"/>
        <w:rPr>
          <w:rFonts w:ascii="Times New Roman" w:eastAsia="Times New Roman" w:hAnsi="Times New Roman" w:cs="Times New Roman"/>
          <w:sz w:val="24"/>
          <w:szCs w:val="24"/>
        </w:rPr>
      </w:pPr>
    </w:p>
    <w:p w14:paraId="082488DB" w14:textId="77777777" w:rsidR="00C04D28" w:rsidRDefault="00C04D28" w:rsidP="00C04D28">
      <w:pPr>
        <w:spacing w:line="48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Critical Factors Affecting the Area of Focus</w:t>
      </w:r>
    </w:p>
    <w:p w14:paraId="7CA2F007" w14:textId="77777777" w:rsidR="00C04D28" w:rsidRDefault="00C04D28" w:rsidP="00C04D28">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There are several factors that could greatly impact the of implementation of a peer mentoring musical theater framework, but three in particular are especially critical to creating a successful outcome. First and foremost, administrative and community support will be necessary before enforcing such a program. The successful implementation of this program requires approval from school administration, parental support, and collaboration with local arts organizations. Funding and staffing availability will also impact program execution. Research has demonstrated that school-wide commitment to inclusive arts programming leads to increased student engagement and long-term success (Samuel, 2024).</w:t>
      </w:r>
    </w:p>
    <w:p w14:paraId="11DF3EC5" w14:textId="77777777" w:rsidR="00C04D28" w:rsidRDefault="00C04D28" w:rsidP="00C04D28">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Another element to consider is the training and preparation of peer mentors. These students must be adequately trained in adaptive techniques, communication strategies, and disability awareness to provide effective support. Studies indicate that peer mentoring programs with structured training yield higher levels of social engagement and success for students with disabilities (Garringer et al., 2025).</w:t>
      </w:r>
    </w:p>
    <w:p w14:paraId="3C77D991" w14:textId="2CA6F785" w:rsidR="00C04D28" w:rsidRDefault="00C04D28" w:rsidP="00C04D28">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Finally, student </w:t>
      </w:r>
      <w:r w:rsidR="0039777A">
        <w:rPr>
          <w:rFonts w:ascii="Times New Roman" w:eastAsia="Times New Roman" w:hAnsi="Times New Roman" w:cs="Times New Roman"/>
          <w:sz w:val="24"/>
          <w:szCs w:val="24"/>
        </w:rPr>
        <w:t>participation</w:t>
      </w:r>
      <w:r>
        <w:rPr>
          <w:rFonts w:ascii="Times New Roman" w:eastAsia="Times New Roman" w:hAnsi="Times New Roman" w:cs="Times New Roman"/>
          <w:sz w:val="24"/>
          <w:szCs w:val="24"/>
        </w:rPr>
        <w:t xml:space="preserve"> and </w:t>
      </w:r>
      <w:r w:rsidR="00DB0E8F">
        <w:rPr>
          <w:rFonts w:ascii="Times New Roman" w:eastAsia="Times New Roman" w:hAnsi="Times New Roman" w:cs="Times New Roman"/>
          <w:sz w:val="24"/>
          <w:szCs w:val="24"/>
        </w:rPr>
        <w:t>caregiver</w:t>
      </w:r>
      <w:r>
        <w:rPr>
          <w:rFonts w:ascii="Times New Roman" w:eastAsia="Times New Roman" w:hAnsi="Times New Roman" w:cs="Times New Roman"/>
          <w:sz w:val="24"/>
          <w:szCs w:val="24"/>
        </w:rPr>
        <w:t xml:space="preserve"> involvement are required for success of the program. Ensuring students with disabilities actively </w:t>
      </w:r>
      <w:r w:rsidR="0039777A">
        <w:rPr>
          <w:rFonts w:ascii="Times New Roman" w:eastAsia="Times New Roman" w:hAnsi="Times New Roman" w:cs="Times New Roman"/>
          <w:sz w:val="24"/>
          <w:szCs w:val="24"/>
        </w:rPr>
        <w:t>engage</w:t>
      </w:r>
      <w:r>
        <w:rPr>
          <w:rFonts w:ascii="Times New Roman" w:eastAsia="Times New Roman" w:hAnsi="Times New Roman" w:cs="Times New Roman"/>
          <w:sz w:val="24"/>
          <w:szCs w:val="24"/>
        </w:rPr>
        <w:t xml:space="preserve"> and that </w:t>
      </w:r>
      <w:r w:rsidR="00DB0E8F">
        <w:rPr>
          <w:rFonts w:ascii="Times New Roman" w:eastAsia="Times New Roman" w:hAnsi="Times New Roman" w:cs="Times New Roman"/>
          <w:sz w:val="24"/>
          <w:szCs w:val="24"/>
        </w:rPr>
        <w:t>guardians</w:t>
      </w:r>
      <w:r>
        <w:rPr>
          <w:rFonts w:ascii="Times New Roman" w:eastAsia="Times New Roman" w:hAnsi="Times New Roman" w:cs="Times New Roman"/>
          <w:sz w:val="24"/>
          <w:szCs w:val="24"/>
        </w:rPr>
        <w:t xml:space="preserve"> support their </w:t>
      </w:r>
      <w:r>
        <w:rPr>
          <w:rFonts w:ascii="Times New Roman" w:eastAsia="Times New Roman" w:hAnsi="Times New Roman" w:cs="Times New Roman"/>
          <w:sz w:val="24"/>
          <w:szCs w:val="24"/>
        </w:rPr>
        <w:lastRenderedPageBreak/>
        <w:t xml:space="preserve">involvement is crucial. Adjustments in scheduling, accommodations, and </w:t>
      </w:r>
      <w:r w:rsidR="00DB0E8F">
        <w:rPr>
          <w:rFonts w:ascii="Times New Roman" w:eastAsia="Times New Roman" w:hAnsi="Times New Roman" w:cs="Times New Roman"/>
          <w:sz w:val="24"/>
          <w:szCs w:val="24"/>
        </w:rPr>
        <w:t xml:space="preserve">frequent </w:t>
      </w:r>
      <w:r>
        <w:rPr>
          <w:rFonts w:ascii="Times New Roman" w:eastAsia="Times New Roman" w:hAnsi="Times New Roman" w:cs="Times New Roman"/>
          <w:sz w:val="24"/>
          <w:szCs w:val="24"/>
        </w:rPr>
        <w:t>communication will influence program implementation. Parental involvement in arts programs could improve students’ motivation, attendance, and overall experience, as well.</w:t>
      </w:r>
    </w:p>
    <w:p w14:paraId="5CE26CE3" w14:textId="77777777" w:rsidR="00C04D28" w:rsidRDefault="00C04D28" w:rsidP="00C04D28">
      <w:pPr>
        <w:spacing w:line="480" w:lineRule="auto"/>
        <w:rPr>
          <w:rFonts w:ascii="Times New Roman" w:eastAsia="Times New Roman" w:hAnsi="Times New Roman" w:cs="Times New Roman"/>
          <w:sz w:val="24"/>
          <w:szCs w:val="24"/>
        </w:rPr>
      </w:pPr>
    </w:p>
    <w:p w14:paraId="757818CD" w14:textId="77777777" w:rsidR="00C04D28" w:rsidRDefault="00C04D28" w:rsidP="00C04D28">
      <w:pPr>
        <w:spacing w:line="48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Individuals Affected by the Research</w:t>
      </w:r>
    </w:p>
    <w:p w14:paraId="1B5C7699" w14:textId="77777777" w:rsidR="00C04D28" w:rsidRDefault="00C04D28" w:rsidP="00C04D28">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This project will primarily impact middle and high school students with and without disabilities within Van Buren County. If the framework is successful, expansion to younger populations could be considered. Students with disabilities would be most affected by this model. By participating in the arts, students may experience improved social interaction, communication skills, and enhanced self-confidence. They will develop teamwork skills, too. It could also encourage them to participate in other extracurricular activities. </w:t>
      </w:r>
    </w:p>
    <w:p w14:paraId="453E844E" w14:textId="6B477EF1" w:rsidR="00C04D28" w:rsidRDefault="00C04D28" w:rsidP="00C04D28">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Peer mentors would also be affected as they develop leadership, empathy, and teamwork skills through participation in the program. It presents them with the opportunities for increase</w:t>
      </w:r>
      <w:r w:rsidR="00DB0E8F">
        <w:rPr>
          <w:rFonts w:ascii="Times New Roman" w:eastAsia="Times New Roman" w:hAnsi="Times New Roman" w:cs="Times New Roman"/>
          <w:sz w:val="24"/>
          <w:szCs w:val="24"/>
        </w:rPr>
        <w:t>d</w:t>
      </w:r>
      <w:r>
        <w:rPr>
          <w:rFonts w:ascii="Times New Roman" w:eastAsia="Times New Roman" w:hAnsi="Times New Roman" w:cs="Times New Roman"/>
          <w:sz w:val="24"/>
          <w:szCs w:val="24"/>
        </w:rPr>
        <w:t xml:space="preserve"> self-awareness while fostering a sense of community and support. These skills are all transferable and marketable, enhancing professional experience and prospects for further education after high school.</w:t>
      </w:r>
    </w:p>
    <w:p w14:paraId="0A666B12" w14:textId="04BFDB4D" w:rsidR="00C04D28" w:rsidRDefault="00C04D28" w:rsidP="00C04D28">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Additionally, educators and school staff involved with the program will be impacted. They will be presented with possibilities for pro</w:t>
      </w:r>
      <w:r w:rsidR="00DB0E8F">
        <w:rPr>
          <w:rFonts w:ascii="Times New Roman" w:eastAsia="Times New Roman" w:hAnsi="Times New Roman" w:cs="Times New Roman"/>
          <w:sz w:val="24"/>
          <w:szCs w:val="24"/>
        </w:rPr>
        <w:t>f</w:t>
      </w:r>
      <w:r>
        <w:rPr>
          <w:rFonts w:ascii="Times New Roman" w:eastAsia="Times New Roman" w:hAnsi="Times New Roman" w:cs="Times New Roman"/>
          <w:sz w:val="24"/>
          <w:szCs w:val="24"/>
        </w:rPr>
        <w:t xml:space="preserve">essional growth in inclusive education practices. This could lead to more equitable educational opportunities, allowing them to implement what they have learned </w:t>
      </w:r>
      <w:r w:rsidR="00DB0E8F">
        <w:rPr>
          <w:rFonts w:ascii="Times New Roman" w:eastAsia="Times New Roman" w:hAnsi="Times New Roman" w:cs="Times New Roman"/>
          <w:sz w:val="24"/>
          <w:szCs w:val="24"/>
        </w:rPr>
        <w:t>from</w:t>
      </w:r>
      <w:r>
        <w:rPr>
          <w:rFonts w:ascii="Times New Roman" w:eastAsia="Times New Roman" w:hAnsi="Times New Roman" w:cs="Times New Roman"/>
          <w:sz w:val="24"/>
          <w:szCs w:val="24"/>
        </w:rPr>
        <w:t xml:space="preserve"> the theater program within their own classrooms. This could have a greater impact on school community through a more inclusive and diverse arts education environment, fostering broader community engagement in supporting students with disabilities. </w:t>
      </w:r>
      <w:r>
        <w:rPr>
          <w:rFonts w:ascii="Times New Roman" w:eastAsia="Times New Roman" w:hAnsi="Times New Roman" w:cs="Times New Roman"/>
          <w:sz w:val="24"/>
          <w:szCs w:val="24"/>
        </w:rPr>
        <w:lastRenderedPageBreak/>
        <w:t xml:space="preserve">The implementation of an inclusive theater program can shift perceptions of disability and enhance school-wide social cohesion (Bowen &amp; Kisida, 2019). </w:t>
      </w:r>
    </w:p>
    <w:p w14:paraId="16265700" w14:textId="77777777" w:rsidR="00C04D28" w:rsidRDefault="00C04D28" w:rsidP="00C04D28">
      <w:pPr>
        <w:spacing w:line="480" w:lineRule="auto"/>
        <w:ind w:firstLine="720"/>
        <w:rPr>
          <w:rFonts w:ascii="Times New Roman" w:eastAsia="Times New Roman" w:hAnsi="Times New Roman" w:cs="Times New Roman"/>
          <w:sz w:val="24"/>
          <w:szCs w:val="24"/>
        </w:rPr>
      </w:pPr>
    </w:p>
    <w:p w14:paraId="57E45D16" w14:textId="77777777" w:rsidR="00C04D28" w:rsidRDefault="00C04D28" w:rsidP="00C04D28">
      <w:pPr>
        <w:spacing w:line="48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Research Question</w:t>
      </w:r>
    </w:p>
    <w:p w14:paraId="6ED3F6C5" w14:textId="77777777" w:rsidR="00C04D28" w:rsidRDefault="00C04D28" w:rsidP="00C04D28">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What are the effects of a peer mentor framework on the engagement of students with disabilities in a performing arts program?</w:t>
      </w:r>
    </w:p>
    <w:p w14:paraId="54AEE557" w14:textId="77777777" w:rsidR="00C04D28" w:rsidRDefault="00C04D28" w:rsidP="00C04D28">
      <w:pPr>
        <w:spacing w:line="480" w:lineRule="auto"/>
        <w:rPr>
          <w:rFonts w:ascii="Times New Roman" w:eastAsia="Times New Roman" w:hAnsi="Times New Roman" w:cs="Times New Roman"/>
          <w:sz w:val="24"/>
          <w:szCs w:val="24"/>
        </w:rPr>
      </w:pPr>
    </w:p>
    <w:p w14:paraId="54A12B85" w14:textId="156485BE" w:rsidR="00C04D28" w:rsidRDefault="00C04D28" w:rsidP="00C04D28">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Overall, this project aims to provide empirical insights into the benefits of integrating peer mentorship with theater and performing arts for students with disabilities. By addressing existing barriers and fostering inclusion, this initiative has the potential to enhance arts education, student well-being, and school culture on a broader scale.</w:t>
      </w:r>
      <w:r w:rsidR="0026599C">
        <w:rPr>
          <w:rFonts w:ascii="Times New Roman" w:eastAsia="Times New Roman" w:hAnsi="Times New Roman" w:cs="Times New Roman"/>
          <w:sz w:val="24"/>
          <w:szCs w:val="24"/>
        </w:rPr>
        <w:t xml:space="preserve"> Given the clear need for increased inclusion in the performing arts and the demonstrated benefits of peer mentorship, it is crucial to examine previous research that informs this project. The following review of literature explore various studies that highlight the impact of peer mentoring in arts education, providing a strong foundation for the implementation of this initiative.</w:t>
      </w:r>
    </w:p>
    <w:p w14:paraId="6592DC2D" w14:textId="77777777" w:rsidR="00CC7001" w:rsidRDefault="00CC7001" w:rsidP="00C04D28">
      <w:pPr>
        <w:spacing w:line="480" w:lineRule="auto"/>
        <w:rPr>
          <w:rFonts w:ascii="Times New Roman" w:eastAsia="Times New Roman" w:hAnsi="Times New Roman" w:cs="Times New Roman"/>
          <w:sz w:val="24"/>
          <w:szCs w:val="24"/>
        </w:rPr>
      </w:pPr>
    </w:p>
    <w:p w14:paraId="1559395F" w14:textId="5A89F06C" w:rsidR="00CC7001" w:rsidRPr="00CC7001" w:rsidRDefault="00CC7001" w:rsidP="000D15E7">
      <w:pPr>
        <w:spacing w:line="480" w:lineRule="auto"/>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Review of Literature</w:t>
      </w:r>
    </w:p>
    <w:p w14:paraId="03FEE671" w14:textId="36902AC6" w:rsidR="00C04D28" w:rsidRDefault="00C04D28" w:rsidP="00C04D28">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Peer mentoring has emerged as a powerful tool in fostering social-emotional growth, as well as academic engagement among students in performing arts education. Research has consistently demonstrated that structured peer mentorship programs can enhance self-esteem, improve social interactions, and increase engagement for students with disabilities and at-risk youth. Mentorship can provide an opportunity for students to develop confidence, refine their skills, and build meaningful relationships. This literature review aims to explore various studies </w:t>
      </w:r>
      <w:r>
        <w:rPr>
          <w:rFonts w:ascii="Times New Roman" w:eastAsia="Times New Roman" w:hAnsi="Times New Roman" w:cs="Times New Roman"/>
          <w:sz w:val="24"/>
          <w:szCs w:val="24"/>
        </w:rPr>
        <w:lastRenderedPageBreak/>
        <w:t>on peer mentoring in performing arts education, highlighting its impact on students with disabilities. By examining both qualitative and quantitative research, this review aims to identify key benefits, challenges, and best practices in implementing peer mentoring programs</w:t>
      </w:r>
      <w:r w:rsidR="00DB0E8F">
        <w:rPr>
          <w:rFonts w:ascii="Times New Roman" w:eastAsia="Times New Roman" w:hAnsi="Times New Roman" w:cs="Times New Roman"/>
          <w:sz w:val="24"/>
          <w:szCs w:val="24"/>
        </w:rPr>
        <w:t xml:space="preserve"> within the fine arts</w:t>
      </w:r>
      <w:r>
        <w:rPr>
          <w:rFonts w:ascii="Times New Roman" w:eastAsia="Times New Roman" w:hAnsi="Times New Roman" w:cs="Times New Roman"/>
          <w:sz w:val="24"/>
          <w:szCs w:val="24"/>
        </w:rPr>
        <w:t xml:space="preserve">. </w:t>
      </w:r>
    </w:p>
    <w:p w14:paraId="64DB425C" w14:textId="77777777" w:rsidR="00C04D28" w:rsidRDefault="00C04D28" w:rsidP="00C04D28">
      <w:pPr>
        <w:spacing w:line="480" w:lineRule="auto"/>
        <w:rPr>
          <w:rFonts w:ascii="Times New Roman" w:eastAsia="Times New Roman" w:hAnsi="Times New Roman" w:cs="Times New Roman"/>
          <w:b/>
          <w:sz w:val="24"/>
          <w:szCs w:val="24"/>
        </w:rPr>
      </w:pPr>
    </w:p>
    <w:p w14:paraId="4A8D9DEF" w14:textId="77777777" w:rsidR="00C04D28" w:rsidRDefault="00C04D28" w:rsidP="00C04D28">
      <w:pPr>
        <w:spacing w:line="48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The Impact of Peer Mentoring</w:t>
      </w:r>
    </w:p>
    <w:p w14:paraId="35F0C3D9" w14:textId="25A2DFE4" w:rsidR="00C04D28" w:rsidRDefault="00C04D28" w:rsidP="00C04D28">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Williams et al. (2024) used a qualitative research design to explore the impact of peer mentoring for students with learning disabilities on their social and emotional development. The study involved 40 high school students with learning disabilities who were paired with peer mentors who shared similar experiences. The study focused on the peer mentoring intervention, and changes in the students’ social and emotional growth were assessed through interviews, observations, and a pre-program and post-program survey. The authors</w:t>
      </w:r>
      <w:r w:rsidR="00DB0E8F">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results indicated that 75% of students showed significant improvements in self-esteem and social interactions, measured by a 20% increase in scores on a social-emotional and well-being scale. 60% of students reported more positive peer relationships. In addition, 68% of students demonstrated enhanced emotional resilience, indicating a stronger sense of belonging and support. My research aligns with these statements, and I believe these developments may create a foundation for increased participation and sustained engagement in performing arts programs, where confidence and social connection are crucial. Suggestions for future research include</w:t>
      </w:r>
      <w:r w:rsidR="00DB0E8F">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investigating the long-term effects of peer mentoring on academic engagement and its impact across different educational settings. The authors also recommended that practitioners expand peer mentoring programs to include a wider range of disabilities, and to ensure that mentors receive formal training on supporting students with learning disabilities. </w:t>
      </w:r>
    </w:p>
    <w:p w14:paraId="7096367E" w14:textId="03ACDFEF" w:rsidR="00C04D28" w:rsidRDefault="00C04D28" w:rsidP="00C04D28">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McCarron et al. (2022) used a mixed-methods research design to investigate the effects of music mentoring on the well-being of youth with disabilities. The study involved 60 youth with disabilities, ages 12-18, paired with mentors from local music programs. The study focused on a music mentoring intervention, assessing its impact on their mental health, social skills, and emotional well-being of the participants, using surveys and interviews. Results indicated that 82% of participants showed significant improvements in mental health, with a 15% increase in self-reported well-being scores. Furthermore, 70% of participants reported enhanced social skills and increased peer interactions through the music mentorship program. Additionally, 63% of mentors also demonstrated positive changes in their own emotional well-being and communication skills. Based on this research, I conclude that these benefits may help students with disabilities feel more comfortable and motivated to actively participate in performing arts programs, leading to higher levels of engagement. Suggestions for future research include exploring the specific elements of music mentoring that contribute </w:t>
      </w:r>
      <w:r w:rsidR="00DB0E8F">
        <w:rPr>
          <w:rFonts w:ascii="Times New Roman" w:eastAsia="Times New Roman" w:hAnsi="Times New Roman" w:cs="Times New Roman"/>
          <w:sz w:val="24"/>
          <w:szCs w:val="24"/>
        </w:rPr>
        <w:t xml:space="preserve">the </w:t>
      </w:r>
      <w:r>
        <w:rPr>
          <w:rFonts w:ascii="Times New Roman" w:eastAsia="Times New Roman" w:hAnsi="Times New Roman" w:cs="Times New Roman"/>
          <w:sz w:val="24"/>
          <w:szCs w:val="24"/>
        </w:rPr>
        <w:t xml:space="preserve">most to well-being, as well as examining the long-term effects on youth engagement in the arts. The authors recommended that practitioners expand music mentoring programs to include a broader range of disabilities. They should also ensure that both mentors and mentees receive ongoing support and training throughout the program. </w:t>
      </w:r>
    </w:p>
    <w:p w14:paraId="1A8274C9" w14:textId="6FECECC1" w:rsidR="00EA49E9" w:rsidRDefault="00EA49E9" w:rsidP="00EA49E9">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Hadley (2020) conducted a qualitative case study to explore the roles, relationships, and practices of allyship in disability arts. The study examined the experiences of 15 artists with disabilities and 10 non-disabled allies, including educators, directors, arts facilitators, and peer mentors, across various performing arts organizations. Data were collected through in-depth interviews, participant observations, and document analysis, with thematic coding used to identify key patterns in mentoring and allyship practices. Results indicated that 85% of </w:t>
      </w:r>
      <w:r>
        <w:rPr>
          <w:rFonts w:ascii="Times New Roman" w:eastAsia="Times New Roman" w:hAnsi="Times New Roman" w:cs="Times New Roman"/>
          <w:sz w:val="24"/>
          <w:szCs w:val="24"/>
        </w:rPr>
        <w:lastRenderedPageBreak/>
        <w:t>participants with disabilities emphasized the importance of collaborative decision-making, while 70% of non-disabled allies reported that effective mentoring required continuous self-education and refle</w:t>
      </w:r>
      <w:r w:rsidR="00DB0E8F">
        <w:rPr>
          <w:rFonts w:ascii="Times New Roman" w:eastAsia="Times New Roman" w:hAnsi="Times New Roman" w:cs="Times New Roman"/>
          <w:sz w:val="24"/>
          <w:szCs w:val="24"/>
        </w:rPr>
        <w:t>ct</w:t>
      </w:r>
      <w:r>
        <w:rPr>
          <w:rFonts w:ascii="Times New Roman" w:eastAsia="Times New Roman" w:hAnsi="Times New Roman" w:cs="Times New Roman"/>
          <w:sz w:val="24"/>
          <w:szCs w:val="24"/>
        </w:rPr>
        <w:t xml:space="preserve">ivity. Additionally, the study found that organizations with formalized inclusion policies were 60% more likely to report sustained engagement and participation of artists with disabilities in long-term projects. From these findings, I infer that integrating peer mentoring within performing arts programs could enhance these inclusive practices by providing ongoing support and representation for students with disabilities. The </w:t>
      </w:r>
      <w:r w:rsidR="00DB0E8F">
        <w:rPr>
          <w:rFonts w:ascii="Times New Roman" w:eastAsia="Times New Roman" w:hAnsi="Times New Roman" w:cs="Times New Roman"/>
          <w:sz w:val="24"/>
          <w:szCs w:val="24"/>
        </w:rPr>
        <w:t>study</w:t>
      </w:r>
      <w:r>
        <w:rPr>
          <w:rFonts w:ascii="Times New Roman" w:eastAsia="Times New Roman" w:hAnsi="Times New Roman" w:cs="Times New Roman"/>
          <w:sz w:val="24"/>
          <w:szCs w:val="24"/>
        </w:rPr>
        <w:t xml:space="preserve"> suggest</w:t>
      </w:r>
      <w:r w:rsidR="00DB0E8F">
        <w:rPr>
          <w:rFonts w:ascii="Times New Roman" w:eastAsia="Times New Roman" w:hAnsi="Times New Roman" w:cs="Times New Roman"/>
          <w:sz w:val="24"/>
          <w:szCs w:val="24"/>
        </w:rPr>
        <w:t xml:space="preserve">s </w:t>
      </w:r>
      <w:r>
        <w:rPr>
          <w:rFonts w:ascii="Times New Roman" w:eastAsia="Times New Roman" w:hAnsi="Times New Roman" w:cs="Times New Roman"/>
          <w:sz w:val="24"/>
          <w:szCs w:val="24"/>
        </w:rPr>
        <w:t>that allyship in the arts must go beyond advocacy to include active collaboration, resource-sharing, and power redistribution.</w:t>
      </w:r>
      <w:r w:rsidR="00DB0E8F">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Suggestions for future research include investigating the impact of these allyship models on audience perceptions of disability representation in the arts and exploring how mentorship structures influence the career trajectories of artists with disabilities. The author recommended that practitioners foster co-leadership opportunities for artists with disabilities and their mentors to ensure authentic representation and engagement. They should also implement structured training programs to equip collaborators </w:t>
      </w:r>
      <w:r w:rsidR="00DB0E8F">
        <w:rPr>
          <w:rFonts w:ascii="Times New Roman" w:eastAsia="Times New Roman" w:hAnsi="Times New Roman" w:cs="Times New Roman"/>
          <w:sz w:val="24"/>
          <w:szCs w:val="24"/>
        </w:rPr>
        <w:t xml:space="preserve">without disabilities </w:t>
      </w:r>
      <w:r>
        <w:rPr>
          <w:rFonts w:ascii="Times New Roman" w:eastAsia="Times New Roman" w:hAnsi="Times New Roman" w:cs="Times New Roman"/>
          <w:sz w:val="24"/>
          <w:szCs w:val="24"/>
        </w:rPr>
        <w:t xml:space="preserve">with the skills needed to support and empower artists with disabilities effectively. </w:t>
      </w:r>
    </w:p>
    <w:p w14:paraId="4DB577BC" w14:textId="0A0D5929" w:rsidR="00C04D28" w:rsidRDefault="00C04D28" w:rsidP="00C04D28">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Müller et al. (2017) used a qualitative research design to examine the impact of a multi-genre arts education program called ArtAbility on middle-school students with autism and their neurotypical teen mentors. The study involved 20 students diagnosed with autism spectrum disorder (ASD) and 20 neurotypical teen mentors, who participated in the program over a 12-week period. The researcher focused on the arts education intervention, assessing its effects on social interactions, self-expression, and collaborative engagement through interviews, observations, and video recordings of program activities. Results showed that 90% of students with autism exhibited improved social interactions with peers, while 75% of mentors reported </w:t>
      </w:r>
      <w:r>
        <w:rPr>
          <w:rFonts w:ascii="Times New Roman" w:eastAsia="Times New Roman" w:hAnsi="Times New Roman" w:cs="Times New Roman"/>
          <w:sz w:val="24"/>
          <w:szCs w:val="24"/>
        </w:rPr>
        <w:lastRenderedPageBreak/>
        <w:t xml:space="preserve">enhanced empathy and communication skills. Additionally, 80% of students demonstrated greater self-expression and creative engagement in the arts activities. The study also found that neurotypical mentors gained valuable insights into the challenges faced by students with autism, fostering more inclusive attitudes. This aligns with the other literature I have reviewed, suggesting that these social improvements could help students with ASD feel more included in performing arts spaces, increasing their willingness to engage in creative collaboration. Suggestions for future research include investigating how specific types of arts, such as music versus visual arts, impact engagement, and assessing the long-term benefits of such programs for both students and </w:t>
      </w:r>
      <w:r w:rsidR="00BE3FAE">
        <w:rPr>
          <w:rFonts w:ascii="Times New Roman" w:eastAsia="Times New Roman" w:hAnsi="Times New Roman" w:cs="Times New Roman"/>
          <w:sz w:val="24"/>
          <w:szCs w:val="24"/>
        </w:rPr>
        <w:t xml:space="preserve">their </w:t>
      </w:r>
      <w:r>
        <w:rPr>
          <w:rFonts w:ascii="Times New Roman" w:eastAsia="Times New Roman" w:hAnsi="Times New Roman" w:cs="Times New Roman"/>
          <w:sz w:val="24"/>
          <w:szCs w:val="24"/>
        </w:rPr>
        <w:t xml:space="preserve">mentors. It is recommended that practitioners develop arts programs that integrate students with diverse abilities, and to ensure that mentors are trained to foster inclusive and supportive environments. </w:t>
      </w:r>
    </w:p>
    <w:p w14:paraId="1752819E" w14:textId="63D5A81C" w:rsidR="00EA49E9" w:rsidRDefault="00EA49E9" w:rsidP="00EA49E9">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VanWeelden et al. (2016) conducted a quasi-experimental study to examine the effects of a peer mentorship program on perceptions of success among students with and without disabilities in high school choral ensembles. The study included 60 students, 30 with disabilities and 30 without, across four high school choir programs over a 12-week intervention period. Researchers collected data through pre-program and post-program surveys, performance assessments, and teacher observations to assess changes in musical confidence, social engagement, and ensemble participation. Results indicated that students with disabilities showed a 42% increase in self-reported confidence in performing, while their neurotypical peers demonstrated a 29% increase in leadership perception within the ensemble. Additionally, on-task engagement during rehearsals improved by 28% for students with disabilities, and overall group cohesion, as rated by instructors, increased by 35%. The findings suggest that peer mentorship positively impacts both social and musical engagement, fostering an inclusive and more </w:t>
      </w:r>
      <w:r>
        <w:rPr>
          <w:rFonts w:ascii="Times New Roman" w:eastAsia="Times New Roman" w:hAnsi="Times New Roman" w:cs="Times New Roman"/>
          <w:sz w:val="24"/>
          <w:szCs w:val="24"/>
        </w:rPr>
        <w:lastRenderedPageBreak/>
        <w:t xml:space="preserve">supportive environment. I believe that expanding structured mentorship to other performing arts disciplines, including theatrical productions, could further promote inclusive engagement and continual participation. Future research should explore the long-term impact of peer mentorship on student retention in music programs and exploring the effectiveness of structured mentorship strategies across different </w:t>
      </w:r>
      <w:r w:rsidR="00BE3FAE">
        <w:rPr>
          <w:rFonts w:ascii="Times New Roman" w:eastAsia="Times New Roman" w:hAnsi="Times New Roman" w:cs="Times New Roman"/>
          <w:sz w:val="24"/>
          <w:szCs w:val="24"/>
        </w:rPr>
        <w:t>types of ensembles</w:t>
      </w:r>
      <w:r>
        <w:rPr>
          <w:rFonts w:ascii="Times New Roman" w:eastAsia="Times New Roman" w:hAnsi="Times New Roman" w:cs="Times New Roman"/>
          <w:sz w:val="24"/>
          <w:szCs w:val="24"/>
        </w:rPr>
        <w:t>. The author recommended that practitioners incorporate structured peer mentorship programs in choral settings to enhance engagement and skill development among students with disabilities. Additionally, they should provide ongoing mentorship training to establish clear role expectations to maximize the benefits of peer-supported learning in performing arts classrooms.</w:t>
      </w:r>
    </w:p>
    <w:p w14:paraId="5D3DFF11" w14:textId="4DEA2406" w:rsidR="00C04D28" w:rsidRDefault="00C04D28" w:rsidP="00C04D28">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Jellison et al. (2015) conducted a qualitative research study to examine the effects of peer-assisted learning and interactions in inclusive music classrooms on student engagement and learning outcomes. The study included 40 students, both with and without disabilities, across four elementary and middle school general music classrooms. Researchers used observations, interviews, and student reflections to assess changes in participation, social interactions, and musical skill development over a 10-week period. Results indicated that 85% of students with disabilities demonstrated increased engagement and participation, while 78% of their peers reported improved understanding of inclusive practices and empathy. Additionally, students in peer-assisted groups showed </w:t>
      </w:r>
      <w:r w:rsidR="00BE3FAE">
        <w:rPr>
          <w:rFonts w:ascii="Times New Roman" w:eastAsia="Times New Roman" w:hAnsi="Times New Roman" w:cs="Times New Roman"/>
          <w:sz w:val="24"/>
          <w:szCs w:val="24"/>
        </w:rPr>
        <w:t xml:space="preserve">a </w:t>
      </w:r>
      <w:r>
        <w:rPr>
          <w:rFonts w:ascii="Times New Roman" w:eastAsia="Times New Roman" w:hAnsi="Times New Roman" w:cs="Times New Roman"/>
          <w:sz w:val="24"/>
          <w:szCs w:val="24"/>
        </w:rPr>
        <w:t xml:space="preserve">25% increase in on-task behavior compared to students in non-collaborative settings. Teachers also noted a 30% improvement in cooperative learning behaviors, suggesting that peer-assisted learning fosters a more inclusive and productive classroom environment. My research aligns with these results and proposes that structured peer mentoring in performing arts could extend these benefits, encouraging students with disabilities to take on more active roles in rehearsals and performances. Suggestions for future research </w:t>
      </w:r>
      <w:r>
        <w:rPr>
          <w:rFonts w:ascii="Times New Roman" w:eastAsia="Times New Roman" w:hAnsi="Times New Roman" w:cs="Times New Roman"/>
          <w:sz w:val="24"/>
          <w:szCs w:val="24"/>
        </w:rPr>
        <w:lastRenderedPageBreak/>
        <w:t xml:space="preserve">include investigating the long-term effects of peer-assisted learning on student independence, as well as exploring its application in performance-based fine arts settings. The authors recommended that practitioners integrate structured peer-assisted learning strategies to enhance engagement, foster social inclusion, and improve musical outcomes for students with disabilities. </w:t>
      </w:r>
    </w:p>
    <w:p w14:paraId="2E6F256A" w14:textId="438CF1CE" w:rsidR="00C04D28" w:rsidRDefault="00C04D28" w:rsidP="00C04D28">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Ogilvie (2011) conducted a single-subject research study to evaluate the effectiveness of video modeling combined with peer mentoring in teaching social skills to students with </w:t>
      </w:r>
      <w:r w:rsidR="00BE3FAE">
        <w:rPr>
          <w:rFonts w:ascii="Times New Roman" w:eastAsia="Times New Roman" w:hAnsi="Times New Roman" w:cs="Times New Roman"/>
          <w:sz w:val="24"/>
          <w:szCs w:val="24"/>
        </w:rPr>
        <w:t>autism</w:t>
      </w:r>
      <w:r>
        <w:rPr>
          <w:rFonts w:ascii="Times New Roman" w:eastAsia="Times New Roman" w:hAnsi="Times New Roman" w:cs="Times New Roman"/>
          <w:sz w:val="24"/>
          <w:szCs w:val="24"/>
        </w:rPr>
        <w:t>. The study included six students with ASD, ages seven to 11, who participated in a six-week intervention within the general education classroom setting. Researchers used direct observation, pre-intervention and post-intervention assessments, and peer evaluations to measure changes in social communication, peer interactions, and engagement in group activities. Results indicated that all six participants demonstrated increased social initiations, with an average 40% increase in peer-directed interactions. Additionally, task engagement improved by 35%, and peer acceptance ratings from neurotypical classmates increased by 28%. The findings suggest that combining video modeling with peer mentoring can significantly enhance social competence and classroom inclusion for students with ASD. I conclude that applying these strategies in performing arts programs could help students with autism feel more confident and engaged in ensemble-based activities. Suggestions for future research include examining the long-term retention of social skills learned through this method, as well as expanding the study to different age groups and educational settings. The author recommended that practitioners integrate video modeling alongside structured peer mentoring programs to support social skill development and promote inclusive learning environments for students with ASD. Educators should also provide ongoing mentor training to ensure that peer mentors are equipped with effective strategies to support their peers and foster meaningful social interactions.</w:t>
      </w:r>
    </w:p>
    <w:p w14:paraId="78FB1F1B" w14:textId="22138538" w:rsidR="00C04D28" w:rsidRPr="00EA49E9" w:rsidRDefault="00EA49E9" w:rsidP="00EA49E9">
      <w:pPr>
        <w:spacing w:line="480" w:lineRule="auto"/>
        <w:ind w:firstLine="720"/>
        <w:rPr>
          <w:rFonts w:ascii="Times New Roman" w:eastAsia="Times New Roman" w:hAnsi="Times New Roman" w:cs="Times New Roman"/>
          <w:sz w:val="24"/>
          <w:szCs w:val="24"/>
          <w:highlight w:val="yellow"/>
        </w:rPr>
      </w:pPr>
      <w:r>
        <w:rPr>
          <w:rFonts w:ascii="Times New Roman" w:eastAsia="Times New Roman" w:hAnsi="Times New Roman" w:cs="Times New Roman"/>
          <w:sz w:val="24"/>
          <w:szCs w:val="24"/>
        </w:rPr>
        <w:lastRenderedPageBreak/>
        <w:t>Darrow et al. (2009) used a quantitative research design to examine the impact of a music mentorship program on the self-esteem and attitudes of at-risk students. The study involved 45 middle and high school students identified as at-risk, who participated in a 12-week structured music mentorship program, pairing them with experienced peer mentors. Surveys and self-report measures were administered before and after the program to assess changes in self-esteem, attitudes toward school, and motivation and engagement for learning. Results showed that 78% of participants experienced a significant increase in self-esteem scores, with an average 22% improvement in self-reported confidence levels. Additionally, 65% of students reported a more positive attitude toward school, and 70% expressed increased motivation to engage in music-related activities. Mentors also demonstrated improved leadership and communication skills, with 68% reporting enhanced confidence in working with peers. I believe that the confidence and sense of belonging gained through mentorship could encourage these students to take more active roles in performing arts programs, sustaining their engagement over time. Suggestions for future research include</w:t>
      </w:r>
      <w:r w:rsidR="00BE3FAE">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exploring the long-term impact of music mentorship on academic performance and engagement, as well as examining the differences in outcomes based on musical genre and instructional approaches. The authors recommended that practitioners implement structured music mentorship programs to support student engagement. It is also emphasized that they must train the mentors to effectively foster positive peer relationships. </w:t>
      </w:r>
    </w:p>
    <w:p w14:paraId="54E55993" w14:textId="77777777" w:rsidR="00C04D28" w:rsidRDefault="00C04D28" w:rsidP="00C04D28">
      <w:pPr>
        <w:spacing w:line="480" w:lineRule="auto"/>
        <w:rPr>
          <w:rFonts w:ascii="Times New Roman" w:eastAsia="Times New Roman" w:hAnsi="Times New Roman" w:cs="Times New Roman"/>
          <w:sz w:val="24"/>
          <w:szCs w:val="24"/>
        </w:rPr>
      </w:pPr>
    </w:p>
    <w:p w14:paraId="7DAA4586" w14:textId="77777777" w:rsidR="00C04D28" w:rsidRDefault="00C04D28" w:rsidP="00C04D28">
      <w:pPr>
        <w:spacing w:line="48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Summary of Findings and Recommendations</w:t>
      </w:r>
    </w:p>
    <w:p w14:paraId="083A1FD1" w14:textId="77777777" w:rsidR="00C04D28" w:rsidRDefault="00C04D28" w:rsidP="00C04D28">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The reviewed literature highlights the significant benefits of peer mentoring in performing arts education, particularly for students with disabilities and those at risk of social exclusion. Across multiple studies, peer mentoring programs have been shown to enhance self-</w:t>
      </w:r>
      <w:r>
        <w:rPr>
          <w:rFonts w:ascii="Times New Roman" w:eastAsia="Times New Roman" w:hAnsi="Times New Roman" w:cs="Times New Roman"/>
          <w:sz w:val="24"/>
          <w:szCs w:val="24"/>
        </w:rPr>
        <w:lastRenderedPageBreak/>
        <w:t>esteem, social interactions, emotional resilience, and engagement in arts-based learning. Quantitative studies reported measurable improvements, such as a 20-40% increase in peer-directed interactions and self-confidence, while qualitative studies emphasized the importance of shared experiences in fostering inclusive and supportive learning environments. Additionally, peer mentors themselves benefited from these programs, demonstrating improved empathy, leadership, and communication skills.</w:t>
      </w:r>
    </w:p>
    <w:p w14:paraId="38E34B40" w14:textId="77777777" w:rsidR="00C04D28" w:rsidRDefault="00C04D28" w:rsidP="00C04D28">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Despite these positive outcomes, the research underscores several challenges, including the need for structured mentor training, sustained support systems, and program scalability across different educational settings. Successful programs often incorporated formal mentor preparation, ongoing supervision, and structured activities to ensure meaningful engagement. Furthermore, studies suggest that integrating arts-based interventions, such as music and drama, can provide additional avenues for self-expression and skill development.</w:t>
      </w:r>
    </w:p>
    <w:p w14:paraId="02CAA42E" w14:textId="0257AC73" w:rsidR="00C04D28" w:rsidRDefault="00C04D28" w:rsidP="00C04D28">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Several recommendations were noted, as well. Schools and arts organizations should implement formal training programs to equip mentors with effective strategies for supporting their peers, fostering inclusion, and facilitating positive social interactions. Mentors and mentees should receive continuous guidance from educators </w:t>
      </w:r>
      <w:r w:rsidR="002B63E3">
        <w:rPr>
          <w:rFonts w:ascii="Times New Roman" w:eastAsia="Times New Roman" w:hAnsi="Times New Roman" w:cs="Times New Roman"/>
          <w:sz w:val="24"/>
          <w:szCs w:val="24"/>
        </w:rPr>
        <w:t>and</w:t>
      </w:r>
      <w:r>
        <w:rPr>
          <w:rFonts w:ascii="Times New Roman" w:eastAsia="Times New Roman" w:hAnsi="Times New Roman" w:cs="Times New Roman"/>
          <w:sz w:val="24"/>
          <w:szCs w:val="24"/>
        </w:rPr>
        <w:t xml:space="preserve"> program facilitators to ensure the effectiveness of peer mentorship relationships. Programs should utilize music, drama, and visual arts to enhance engagement, self-expression, and social connection among participants. Schools should consider expanding peer mentoring opportunities to a broader range of students with diverse learning needs, ensuring accessibility across different grade levels and settings. Future research should examine the long-term impact of peer mentoring on student development, academic engagement, and retention in arts education programs. </w:t>
      </w:r>
    </w:p>
    <w:p w14:paraId="33092897" w14:textId="77777777" w:rsidR="00C04D28" w:rsidRDefault="00C04D28" w:rsidP="00C04D28">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ab/>
        <w:t xml:space="preserve">By implementing the frameworks and recommendations described in the literature, educators and practitioners can maximize the benefits of peer mentoring in performing arts, creating inclusive and supportive learning environments that empower all students to be actively engaged in the content and with their peers. When thoughtfully structured, these programs not only enhance social and emotional growth, but also foster a sense of belonging and artistic confidence among students with disabilities. As schools and arts organizations continue to refine mentorship models, ongoing research and collaboration will be essential to ensuring that peer mentoring remains a sustainable and impactful practice in performing arts education. </w:t>
      </w:r>
    </w:p>
    <w:p w14:paraId="2AC3BE73" w14:textId="747E96B6" w:rsidR="0026599C" w:rsidRPr="003E3DEF" w:rsidRDefault="0026599C" w:rsidP="00C04D28">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The research reviewed strongly supports the integration of peer mentoring in performing arts settings as a means to foster social and academic engagement, confidence, and inclusion for students with disabilities. With this evidence in mind, it is essential to develop a structured plan to implement an inclusive framework within our county. The following action plan outlines the necessary steps, resources, and evaluation measures to ensure the program’s success.</w:t>
      </w:r>
    </w:p>
    <w:p w14:paraId="47FB7E13" w14:textId="77777777" w:rsidR="003E3DEF" w:rsidRDefault="003E3DEF" w:rsidP="00C04D28">
      <w:pPr>
        <w:spacing w:line="480" w:lineRule="auto"/>
        <w:rPr>
          <w:rFonts w:ascii="Times New Roman" w:eastAsia="Times New Roman" w:hAnsi="Times New Roman" w:cs="Times New Roman"/>
          <w:b/>
          <w:sz w:val="24"/>
          <w:szCs w:val="24"/>
        </w:rPr>
      </w:pPr>
    </w:p>
    <w:p w14:paraId="7F5F9B7C" w14:textId="5AA5B9D3" w:rsidR="00C04D28" w:rsidRDefault="00C04D28" w:rsidP="000D15E7">
      <w:pPr>
        <w:spacing w:line="48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Action Plan</w:t>
      </w:r>
    </w:p>
    <w:p w14:paraId="11DCD2B8" w14:textId="1DB388C8" w:rsidR="00C04D28" w:rsidRDefault="00C04D28" w:rsidP="00C04D28">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To effectively implement a peer mentoring musical theater program within Van Buren County, it is crucial to follow a step-by-step action plan to ensure that all students are involved in an accessible and inclusive manner. This framework requires collaboration between several members of the school community, including special education teachers, theater and music directors, paraprofessionals, administrators, a production team, caregivers, peer mentors, and participants with disabilities. The action plan detailed in Table 1 is designed to foster an inclusive musical theater experience for students with disabilities through structured peer mentorship and is organized into three phases. The first phase, from April through July 2025, </w:t>
      </w:r>
      <w:r>
        <w:rPr>
          <w:rFonts w:ascii="Times New Roman" w:eastAsia="Times New Roman" w:hAnsi="Times New Roman" w:cs="Times New Roman"/>
          <w:sz w:val="24"/>
          <w:szCs w:val="24"/>
        </w:rPr>
        <w:lastRenderedPageBreak/>
        <w:t>will focus on research, planning, and training to ensure that staff and mentors are equipped with the necessary skills to support students with disabilities effectively. The second phase, from August through December 2025, will introduce students to theater basics, encouraging engagement through low-pressure, skill-building activities. The third phase, from January through April 2026, will shift toward production rehearsals, where students will apply learned skills to a full-scale performance. The final performance and assessment in May 2026 will evaluate engagement levels</w:t>
      </w:r>
      <w:r w:rsidR="00687AF6">
        <w:rPr>
          <w:rFonts w:ascii="Times New Roman" w:eastAsia="Times New Roman" w:hAnsi="Times New Roman" w:cs="Times New Roman"/>
          <w:sz w:val="24"/>
          <w:szCs w:val="24"/>
        </w:rPr>
        <w:t xml:space="preserve"> through </w:t>
      </w:r>
      <w:r>
        <w:rPr>
          <w:rFonts w:ascii="Times New Roman" w:eastAsia="Times New Roman" w:hAnsi="Times New Roman" w:cs="Times New Roman"/>
          <w:sz w:val="24"/>
          <w:szCs w:val="24"/>
        </w:rPr>
        <w:t>structured observations of time on-task and engagement surveys assessing confidence, social interaction, and enjoyment.</w:t>
      </w:r>
    </w:p>
    <w:p w14:paraId="777FBA49" w14:textId="77777777" w:rsidR="003E3DEF" w:rsidRDefault="003E3DEF" w:rsidP="00C04D28">
      <w:pPr>
        <w:spacing w:line="480" w:lineRule="auto"/>
        <w:rPr>
          <w:rFonts w:ascii="Times New Roman" w:eastAsia="Times New Roman" w:hAnsi="Times New Roman" w:cs="Times New Roman"/>
          <w:b/>
          <w:sz w:val="24"/>
          <w:szCs w:val="24"/>
        </w:rPr>
      </w:pPr>
    </w:p>
    <w:p w14:paraId="5F8C9B42" w14:textId="16207D9D" w:rsidR="00C04D28" w:rsidRDefault="00C04D28" w:rsidP="00C04D28">
      <w:pPr>
        <w:spacing w:line="48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Table 1 </w:t>
      </w:r>
    </w:p>
    <w:p w14:paraId="302D1895" w14:textId="77777777" w:rsidR="00C04D28" w:rsidRDefault="00C04D28" w:rsidP="00C04D28">
      <w:pPr>
        <w:spacing w:line="480" w:lineRule="auto"/>
        <w:rPr>
          <w:rFonts w:ascii="Times New Roman" w:eastAsia="Times New Roman" w:hAnsi="Times New Roman" w:cs="Times New Roman"/>
          <w:i/>
          <w:sz w:val="24"/>
          <w:szCs w:val="24"/>
        </w:rPr>
      </w:pPr>
      <w:r>
        <w:rPr>
          <w:rFonts w:ascii="Times New Roman" w:eastAsia="Times New Roman" w:hAnsi="Times New Roman" w:cs="Times New Roman"/>
          <w:i/>
          <w:sz w:val="24"/>
          <w:szCs w:val="24"/>
        </w:rPr>
        <w:t>Action Plan</w:t>
      </w:r>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FFFFFF" w:themeFill="background1"/>
        <w:tblLayout w:type="fixed"/>
        <w:tblLook w:val="0000" w:firstRow="0" w:lastRow="0" w:firstColumn="0" w:lastColumn="0" w:noHBand="0" w:noVBand="0"/>
      </w:tblPr>
      <w:tblGrid>
        <w:gridCol w:w="269"/>
        <w:gridCol w:w="269"/>
        <w:gridCol w:w="4050"/>
        <w:gridCol w:w="3413"/>
        <w:gridCol w:w="1359"/>
      </w:tblGrid>
      <w:tr w:rsidR="00C04D28" w14:paraId="31C7DACF" w14:textId="77777777" w:rsidTr="00027B7E">
        <w:trPr>
          <w:trHeight w:val="240"/>
        </w:trPr>
        <w:tc>
          <w:tcPr>
            <w:tcW w:w="9564" w:type="dxa"/>
            <w:gridSpan w:val="5"/>
            <w:shd w:val="clear" w:color="auto" w:fill="FFFFFF" w:themeFill="background1"/>
          </w:tcPr>
          <w:p w14:paraId="4D14CB4B" w14:textId="77777777" w:rsidR="00C04D28" w:rsidRDefault="00C04D28" w:rsidP="00027B7E">
            <w:pPr>
              <w:spacing w:line="240" w:lineRule="auto"/>
              <w:ind w:left="-90"/>
              <w:rPr>
                <w:rFonts w:ascii="Times New Roman" w:eastAsia="Times New Roman" w:hAnsi="Times New Roman" w:cs="Times New Roman"/>
                <w:color w:val="071320"/>
                <w:sz w:val="24"/>
                <w:szCs w:val="24"/>
              </w:rPr>
            </w:pPr>
            <w:r>
              <w:rPr>
                <w:rFonts w:ascii="Times New Roman" w:eastAsia="Times New Roman" w:hAnsi="Times New Roman" w:cs="Times New Roman"/>
                <w:b/>
                <w:color w:val="071320"/>
                <w:sz w:val="24"/>
                <w:szCs w:val="24"/>
              </w:rPr>
              <w:t xml:space="preserve">Problem: </w:t>
            </w:r>
            <w:r>
              <w:rPr>
                <w:rFonts w:ascii="Times New Roman" w:eastAsia="Times New Roman" w:hAnsi="Times New Roman" w:cs="Times New Roman"/>
                <w:color w:val="071320"/>
                <w:sz w:val="24"/>
                <w:szCs w:val="24"/>
              </w:rPr>
              <w:t xml:space="preserve">Students with disabilities often face barriers to participation in traditional performing arts programs, such as limited adaptive resources, a lack of inclusive programming, and social stigma. </w:t>
            </w:r>
          </w:p>
        </w:tc>
      </w:tr>
      <w:tr w:rsidR="00C04D28" w14:paraId="4087F142" w14:textId="77777777" w:rsidTr="00027B7E">
        <w:trPr>
          <w:trHeight w:val="240"/>
        </w:trPr>
        <w:tc>
          <w:tcPr>
            <w:tcW w:w="9564" w:type="dxa"/>
            <w:gridSpan w:val="5"/>
            <w:shd w:val="clear" w:color="auto" w:fill="FFFFFF" w:themeFill="background1"/>
          </w:tcPr>
          <w:p w14:paraId="5B21F384" w14:textId="27A5A96D" w:rsidR="00C04D28" w:rsidRDefault="00C04D28" w:rsidP="00027B7E">
            <w:pPr>
              <w:spacing w:line="240" w:lineRule="auto"/>
              <w:ind w:left="-90"/>
              <w:rPr>
                <w:rFonts w:ascii="Times New Roman" w:eastAsia="Times New Roman" w:hAnsi="Times New Roman" w:cs="Times New Roman"/>
                <w:color w:val="071320"/>
                <w:sz w:val="24"/>
                <w:szCs w:val="24"/>
              </w:rPr>
            </w:pPr>
            <w:r>
              <w:rPr>
                <w:rFonts w:ascii="Times New Roman" w:eastAsia="Times New Roman" w:hAnsi="Times New Roman" w:cs="Times New Roman"/>
                <w:b/>
                <w:color w:val="071320"/>
                <w:sz w:val="24"/>
                <w:szCs w:val="24"/>
              </w:rPr>
              <w:t xml:space="preserve">Research </w:t>
            </w:r>
            <w:r w:rsidR="00687AF6">
              <w:rPr>
                <w:rFonts w:ascii="Times New Roman" w:eastAsia="Times New Roman" w:hAnsi="Times New Roman" w:cs="Times New Roman"/>
                <w:b/>
                <w:color w:val="071320"/>
                <w:sz w:val="24"/>
                <w:szCs w:val="24"/>
              </w:rPr>
              <w:t>Q</w:t>
            </w:r>
            <w:r>
              <w:rPr>
                <w:rFonts w:ascii="Times New Roman" w:eastAsia="Times New Roman" w:hAnsi="Times New Roman" w:cs="Times New Roman"/>
                <w:b/>
                <w:color w:val="071320"/>
                <w:sz w:val="24"/>
                <w:szCs w:val="24"/>
              </w:rPr>
              <w:t xml:space="preserve">uestion: </w:t>
            </w:r>
            <w:r>
              <w:rPr>
                <w:rFonts w:ascii="Times New Roman" w:eastAsia="Times New Roman" w:hAnsi="Times New Roman" w:cs="Times New Roman"/>
                <w:color w:val="071320"/>
                <w:sz w:val="24"/>
                <w:szCs w:val="24"/>
              </w:rPr>
              <w:t>What are the effects of a peer mentor framework on the engagement of students with disabilities in a performing arts program?</w:t>
            </w:r>
          </w:p>
        </w:tc>
      </w:tr>
      <w:tr w:rsidR="00C04D28" w14:paraId="2AF1F0E8" w14:textId="77777777" w:rsidTr="00027B7E">
        <w:trPr>
          <w:trHeight w:val="800"/>
        </w:trPr>
        <w:tc>
          <w:tcPr>
            <w:tcW w:w="9564" w:type="dxa"/>
            <w:gridSpan w:val="5"/>
            <w:shd w:val="clear" w:color="auto" w:fill="FFFFFF" w:themeFill="background1"/>
          </w:tcPr>
          <w:p w14:paraId="3A3F56CE" w14:textId="77777777" w:rsidR="00C04D28" w:rsidRDefault="00C04D28" w:rsidP="00027B7E">
            <w:pPr>
              <w:spacing w:line="240" w:lineRule="auto"/>
              <w:ind w:left="-90"/>
              <w:rPr>
                <w:rFonts w:ascii="Times New Roman" w:eastAsia="Times New Roman" w:hAnsi="Times New Roman" w:cs="Times New Roman"/>
                <w:color w:val="071320"/>
                <w:sz w:val="24"/>
                <w:szCs w:val="24"/>
              </w:rPr>
            </w:pPr>
            <w:r>
              <w:rPr>
                <w:rFonts w:ascii="Times New Roman" w:eastAsia="Times New Roman" w:hAnsi="Times New Roman" w:cs="Times New Roman"/>
                <w:b/>
                <w:color w:val="071320"/>
                <w:sz w:val="24"/>
                <w:szCs w:val="24"/>
              </w:rPr>
              <w:t>Goal:</w:t>
            </w:r>
            <w:r>
              <w:rPr>
                <w:rFonts w:ascii="Times New Roman" w:eastAsia="Times New Roman" w:hAnsi="Times New Roman" w:cs="Times New Roman"/>
                <w:color w:val="071320"/>
                <w:sz w:val="24"/>
                <w:szCs w:val="24"/>
              </w:rPr>
              <w:t xml:space="preserve"> By May 2026, at least 80% of students with disabilities participating in the peer mentor musical theater program will demonstrate a 30% increase in engagement, as measured by the percent of time on-task during rehearsals and an engagement survey assessing confidence, social interaction, and enjoyment. The program will provide adaptive scripts, sensory-friendly rehearsal spaces, and trained peer mentors to ensure that all students can participate fully in both the learning process and the final performance.</w:t>
            </w:r>
          </w:p>
        </w:tc>
      </w:tr>
      <w:tr w:rsidR="00C04D28" w14:paraId="205B1F3E" w14:textId="77777777" w:rsidTr="00027B7E">
        <w:trPr>
          <w:trHeight w:val="260"/>
        </w:trPr>
        <w:tc>
          <w:tcPr>
            <w:tcW w:w="270" w:type="dxa"/>
            <w:shd w:val="clear" w:color="auto" w:fill="FFFFFF" w:themeFill="background1"/>
          </w:tcPr>
          <w:p w14:paraId="1EB3C67B" w14:textId="77777777" w:rsidR="00C04D28" w:rsidRDefault="00C04D28" w:rsidP="00027B7E">
            <w:pPr>
              <w:spacing w:line="240" w:lineRule="auto"/>
              <w:ind w:left="-86"/>
              <w:rPr>
                <w:rFonts w:ascii="Times New Roman" w:eastAsia="Times New Roman" w:hAnsi="Times New Roman" w:cs="Times New Roman"/>
                <w:b/>
                <w:color w:val="071320"/>
                <w:sz w:val="24"/>
                <w:szCs w:val="24"/>
              </w:rPr>
            </w:pPr>
          </w:p>
        </w:tc>
        <w:tc>
          <w:tcPr>
            <w:tcW w:w="4415" w:type="dxa"/>
            <w:gridSpan w:val="2"/>
            <w:shd w:val="clear" w:color="auto" w:fill="FFFFFF" w:themeFill="background1"/>
          </w:tcPr>
          <w:p w14:paraId="71D21A1F" w14:textId="77777777" w:rsidR="00C04D28" w:rsidRDefault="00C04D28" w:rsidP="00027B7E">
            <w:pPr>
              <w:spacing w:line="240" w:lineRule="auto"/>
              <w:ind w:left="-86"/>
              <w:rPr>
                <w:rFonts w:ascii="Times New Roman" w:eastAsia="Times New Roman" w:hAnsi="Times New Roman" w:cs="Times New Roman"/>
                <w:color w:val="071320"/>
                <w:sz w:val="24"/>
                <w:szCs w:val="24"/>
              </w:rPr>
            </w:pPr>
            <w:r>
              <w:rPr>
                <w:rFonts w:ascii="Times New Roman" w:eastAsia="Times New Roman" w:hAnsi="Times New Roman" w:cs="Times New Roman"/>
                <w:b/>
                <w:color w:val="071320"/>
                <w:sz w:val="24"/>
                <w:szCs w:val="24"/>
              </w:rPr>
              <w:t>Action Steps</w:t>
            </w:r>
          </w:p>
        </w:tc>
        <w:tc>
          <w:tcPr>
            <w:tcW w:w="3492" w:type="dxa"/>
            <w:shd w:val="clear" w:color="auto" w:fill="FFFFFF" w:themeFill="background1"/>
          </w:tcPr>
          <w:p w14:paraId="2441155E" w14:textId="77777777" w:rsidR="00C04D28" w:rsidRDefault="00C04D28" w:rsidP="00027B7E">
            <w:pPr>
              <w:spacing w:line="240" w:lineRule="auto"/>
              <w:ind w:left="-86"/>
              <w:rPr>
                <w:rFonts w:ascii="Times New Roman" w:eastAsia="Times New Roman" w:hAnsi="Times New Roman" w:cs="Times New Roman"/>
                <w:color w:val="071320"/>
                <w:sz w:val="24"/>
                <w:szCs w:val="24"/>
              </w:rPr>
            </w:pPr>
            <w:r>
              <w:rPr>
                <w:rFonts w:ascii="Times New Roman" w:eastAsia="Times New Roman" w:hAnsi="Times New Roman" w:cs="Times New Roman"/>
                <w:b/>
                <w:color w:val="071320"/>
                <w:sz w:val="24"/>
                <w:szCs w:val="24"/>
              </w:rPr>
              <w:t>Person(s) Responsible</w:t>
            </w:r>
          </w:p>
        </w:tc>
        <w:tc>
          <w:tcPr>
            <w:tcW w:w="1387" w:type="dxa"/>
            <w:shd w:val="clear" w:color="auto" w:fill="FFFFFF" w:themeFill="background1"/>
          </w:tcPr>
          <w:p w14:paraId="6FDD8599" w14:textId="77777777" w:rsidR="00C04D28" w:rsidRDefault="00C04D28" w:rsidP="00027B7E">
            <w:pPr>
              <w:spacing w:line="240" w:lineRule="auto"/>
              <w:ind w:left="-86"/>
              <w:rPr>
                <w:rFonts w:ascii="Times New Roman" w:eastAsia="Times New Roman" w:hAnsi="Times New Roman" w:cs="Times New Roman"/>
                <w:color w:val="071320"/>
                <w:sz w:val="24"/>
                <w:szCs w:val="24"/>
              </w:rPr>
            </w:pPr>
            <w:r>
              <w:rPr>
                <w:rFonts w:ascii="Times New Roman" w:eastAsia="Times New Roman" w:hAnsi="Times New Roman" w:cs="Times New Roman"/>
                <w:b/>
                <w:color w:val="071320"/>
                <w:sz w:val="24"/>
                <w:szCs w:val="24"/>
              </w:rPr>
              <w:t>Due Date</w:t>
            </w:r>
          </w:p>
        </w:tc>
      </w:tr>
      <w:tr w:rsidR="00C04D28" w14:paraId="590C8728" w14:textId="77777777" w:rsidTr="00027B7E">
        <w:trPr>
          <w:trHeight w:val="240"/>
        </w:trPr>
        <w:tc>
          <w:tcPr>
            <w:tcW w:w="270" w:type="dxa"/>
            <w:vMerge w:val="restart"/>
            <w:shd w:val="clear" w:color="auto" w:fill="FFFFFF" w:themeFill="background1"/>
          </w:tcPr>
          <w:p w14:paraId="4D29D9A6" w14:textId="77777777" w:rsidR="00687AF6" w:rsidRDefault="00C04D28" w:rsidP="00027B7E">
            <w:pPr>
              <w:spacing w:line="240" w:lineRule="auto"/>
              <w:ind w:left="-90"/>
              <w:rPr>
                <w:rFonts w:ascii="Times New Roman" w:eastAsia="Times New Roman" w:hAnsi="Times New Roman" w:cs="Times New Roman"/>
                <w:b/>
                <w:color w:val="071320"/>
                <w:sz w:val="24"/>
                <w:szCs w:val="24"/>
              </w:rPr>
            </w:pPr>
            <w:r>
              <w:rPr>
                <w:rFonts w:ascii="Times New Roman" w:eastAsia="Times New Roman" w:hAnsi="Times New Roman" w:cs="Times New Roman"/>
                <w:b/>
                <w:color w:val="071320"/>
                <w:sz w:val="24"/>
                <w:szCs w:val="24"/>
              </w:rPr>
              <w:t>Phase</w:t>
            </w:r>
          </w:p>
          <w:p w14:paraId="62CA4D23" w14:textId="196184A1" w:rsidR="00C04D28" w:rsidRDefault="00C04D28" w:rsidP="00027B7E">
            <w:pPr>
              <w:spacing w:line="240" w:lineRule="auto"/>
              <w:ind w:left="-90"/>
              <w:rPr>
                <w:rFonts w:ascii="Times New Roman" w:eastAsia="Times New Roman" w:hAnsi="Times New Roman" w:cs="Times New Roman"/>
                <w:b/>
                <w:color w:val="071320"/>
                <w:sz w:val="24"/>
                <w:szCs w:val="24"/>
              </w:rPr>
            </w:pPr>
            <w:r>
              <w:rPr>
                <w:rFonts w:ascii="Times New Roman" w:eastAsia="Times New Roman" w:hAnsi="Times New Roman" w:cs="Times New Roman"/>
                <w:b/>
                <w:color w:val="071320"/>
                <w:sz w:val="24"/>
                <w:szCs w:val="24"/>
              </w:rPr>
              <w:t xml:space="preserve"> 1</w:t>
            </w:r>
          </w:p>
        </w:tc>
        <w:tc>
          <w:tcPr>
            <w:tcW w:w="270" w:type="dxa"/>
            <w:shd w:val="clear" w:color="auto" w:fill="FFFFFF" w:themeFill="background1"/>
          </w:tcPr>
          <w:p w14:paraId="05FE19BA" w14:textId="77777777" w:rsidR="00C04D28" w:rsidRDefault="00C04D28" w:rsidP="00027B7E">
            <w:pPr>
              <w:spacing w:line="240" w:lineRule="auto"/>
              <w:ind w:left="-90"/>
              <w:rPr>
                <w:rFonts w:ascii="Times New Roman" w:eastAsia="Times New Roman" w:hAnsi="Times New Roman" w:cs="Times New Roman"/>
                <w:color w:val="071320"/>
                <w:sz w:val="24"/>
                <w:szCs w:val="24"/>
              </w:rPr>
            </w:pPr>
            <w:r>
              <w:rPr>
                <w:rFonts w:ascii="Times New Roman" w:eastAsia="Times New Roman" w:hAnsi="Times New Roman" w:cs="Times New Roman"/>
                <w:b/>
                <w:color w:val="071320"/>
                <w:sz w:val="24"/>
                <w:szCs w:val="24"/>
              </w:rPr>
              <w:t>1</w:t>
            </w:r>
          </w:p>
        </w:tc>
        <w:tc>
          <w:tcPr>
            <w:tcW w:w="4145" w:type="dxa"/>
            <w:shd w:val="clear" w:color="auto" w:fill="FFFFFF" w:themeFill="background1"/>
          </w:tcPr>
          <w:p w14:paraId="002D982A" w14:textId="77777777" w:rsidR="00C04D28" w:rsidRDefault="00C04D28" w:rsidP="00027B7E">
            <w:pPr>
              <w:spacing w:line="240" w:lineRule="auto"/>
              <w:rPr>
                <w:rFonts w:ascii="Times New Roman" w:eastAsia="Times New Roman" w:hAnsi="Times New Roman" w:cs="Times New Roman"/>
                <w:color w:val="071320"/>
                <w:sz w:val="24"/>
                <w:szCs w:val="24"/>
              </w:rPr>
            </w:pPr>
            <w:r>
              <w:rPr>
                <w:rFonts w:ascii="Times New Roman" w:eastAsia="Times New Roman" w:hAnsi="Times New Roman" w:cs="Times New Roman"/>
                <w:color w:val="071320"/>
                <w:sz w:val="24"/>
                <w:szCs w:val="24"/>
              </w:rPr>
              <w:t>Research best practices for inclusive theater programs and peer mentoring.</w:t>
            </w:r>
          </w:p>
        </w:tc>
        <w:tc>
          <w:tcPr>
            <w:tcW w:w="3492" w:type="dxa"/>
            <w:shd w:val="clear" w:color="auto" w:fill="FFFFFF" w:themeFill="background1"/>
          </w:tcPr>
          <w:p w14:paraId="70334172" w14:textId="77777777" w:rsidR="00C04D28" w:rsidRDefault="00C04D28" w:rsidP="00027B7E">
            <w:pPr>
              <w:spacing w:line="240" w:lineRule="auto"/>
              <w:ind w:left="-90"/>
              <w:rPr>
                <w:rFonts w:ascii="Times New Roman" w:eastAsia="Times New Roman" w:hAnsi="Times New Roman" w:cs="Times New Roman"/>
                <w:color w:val="071320"/>
                <w:sz w:val="24"/>
                <w:szCs w:val="24"/>
              </w:rPr>
            </w:pPr>
            <w:r>
              <w:rPr>
                <w:rFonts w:ascii="Times New Roman" w:eastAsia="Times New Roman" w:hAnsi="Times New Roman" w:cs="Times New Roman"/>
                <w:color w:val="071320"/>
                <w:sz w:val="24"/>
                <w:szCs w:val="24"/>
              </w:rPr>
              <w:t>Special educators</w:t>
            </w:r>
          </w:p>
        </w:tc>
        <w:tc>
          <w:tcPr>
            <w:tcW w:w="1387" w:type="dxa"/>
            <w:shd w:val="clear" w:color="auto" w:fill="FFFFFF" w:themeFill="background1"/>
          </w:tcPr>
          <w:p w14:paraId="7962A979" w14:textId="77777777" w:rsidR="00C04D28" w:rsidRDefault="00C04D28" w:rsidP="00027B7E">
            <w:pPr>
              <w:spacing w:line="240" w:lineRule="auto"/>
              <w:ind w:left="-90"/>
              <w:rPr>
                <w:rFonts w:ascii="Times New Roman" w:eastAsia="Times New Roman" w:hAnsi="Times New Roman" w:cs="Times New Roman"/>
                <w:color w:val="071320"/>
                <w:sz w:val="24"/>
                <w:szCs w:val="24"/>
              </w:rPr>
            </w:pPr>
            <w:r>
              <w:rPr>
                <w:rFonts w:ascii="Times New Roman" w:eastAsia="Times New Roman" w:hAnsi="Times New Roman" w:cs="Times New Roman"/>
                <w:color w:val="071320"/>
                <w:sz w:val="24"/>
                <w:szCs w:val="24"/>
              </w:rPr>
              <w:t>April 2025</w:t>
            </w:r>
          </w:p>
        </w:tc>
      </w:tr>
      <w:tr w:rsidR="00C04D28" w14:paraId="3890CE28" w14:textId="77777777" w:rsidTr="00027B7E">
        <w:trPr>
          <w:trHeight w:val="240"/>
        </w:trPr>
        <w:tc>
          <w:tcPr>
            <w:tcW w:w="270" w:type="dxa"/>
            <w:vMerge/>
            <w:shd w:val="clear" w:color="auto" w:fill="FFFFFF" w:themeFill="background1"/>
          </w:tcPr>
          <w:p w14:paraId="50AA01A4" w14:textId="77777777" w:rsidR="00C04D28" w:rsidRDefault="00C04D28" w:rsidP="00027B7E">
            <w:pPr>
              <w:spacing w:line="240" w:lineRule="auto"/>
              <w:rPr>
                <w:rFonts w:ascii="Times New Roman" w:eastAsia="Times New Roman" w:hAnsi="Times New Roman" w:cs="Times New Roman"/>
                <w:b/>
                <w:color w:val="071320"/>
                <w:sz w:val="24"/>
                <w:szCs w:val="24"/>
              </w:rPr>
            </w:pPr>
          </w:p>
        </w:tc>
        <w:tc>
          <w:tcPr>
            <w:tcW w:w="270" w:type="dxa"/>
            <w:shd w:val="clear" w:color="auto" w:fill="FFFFFF" w:themeFill="background1"/>
          </w:tcPr>
          <w:p w14:paraId="250DD0F0" w14:textId="77777777" w:rsidR="00C04D28" w:rsidRDefault="00C04D28" w:rsidP="00027B7E">
            <w:pPr>
              <w:spacing w:line="240" w:lineRule="auto"/>
              <w:ind w:left="-90"/>
              <w:rPr>
                <w:rFonts w:ascii="Times New Roman" w:eastAsia="Times New Roman" w:hAnsi="Times New Roman" w:cs="Times New Roman"/>
                <w:b/>
                <w:color w:val="071320"/>
                <w:sz w:val="24"/>
                <w:szCs w:val="24"/>
              </w:rPr>
            </w:pPr>
            <w:r>
              <w:rPr>
                <w:rFonts w:ascii="Times New Roman" w:eastAsia="Times New Roman" w:hAnsi="Times New Roman" w:cs="Times New Roman"/>
                <w:b/>
                <w:color w:val="071320"/>
                <w:sz w:val="24"/>
                <w:szCs w:val="24"/>
              </w:rPr>
              <w:t>2</w:t>
            </w:r>
          </w:p>
        </w:tc>
        <w:tc>
          <w:tcPr>
            <w:tcW w:w="4145" w:type="dxa"/>
            <w:shd w:val="clear" w:color="auto" w:fill="FFFFFF" w:themeFill="background1"/>
          </w:tcPr>
          <w:p w14:paraId="1E15514B" w14:textId="4F5DF7D9" w:rsidR="00C04D28" w:rsidRDefault="00C04D28" w:rsidP="00027B7E">
            <w:pPr>
              <w:spacing w:line="240" w:lineRule="auto"/>
              <w:rPr>
                <w:rFonts w:ascii="Times New Roman" w:eastAsia="Times New Roman" w:hAnsi="Times New Roman" w:cs="Times New Roman"/>
                <w:color w:val="071320"/>
                <w:sz w:val="24"/>
                <w:szCs w:val="24"/>
              </w:rPr>
            </w:pPr>
            <w:r>
              <w:rPr>
                <w:rFonts w:ascii="Times New Roman" w:eastAsia="Times New Roman" w:hAnsi="Times New Roman" w:cs="Times New Roman"/>
                <w:color w:val="071320"/>
                <w:sz w:val="24"/>
                <w:szCs w:val="24"/>
              </w:rPr>
              <w:t xml:space="preserve">Recruit and train staff in adaptive theater techniques and disability awareness. Allow staff time to practice implementation through role-play until 100% fidelity is </w:t>
            </w:r>
            <w:r w:rsidR="00687AF6">
              <w:rPr>
                <w:rFonts w:ascii="Times New Roman" w:eastAsia="Times New Roman" w:hAnsi="Times New Roman" w:cs="Times New Roman"/>
                <w:color w:val="071320"/>
                <w:sz w:val="24"/>
                <w:szCs w:val="24"/>
              </w:rPr>
              <w:t>achieved</w:t>
            </w:r>
            <w:r>
              <w:rPr>
                <w:rFonts w:ascii="Times New Roman" w:eastAsia="Times New Roman" w:hAnsi="Times New Roman" w:cs="Times New Roman"/>
                <w:color w:val="071320"/>
                <w:sz w:val="24"/>
                <w:szCs w:val="24"/>
              </w:rPr>
              <w:t>.</w:t>
            </w:r>
          </w:p>
        </w:tc>
        <w:tc>
          <w:tcPr>
            <w:tcW w:w="3492" w:type="dxa"/>
            <w:shd w:val="clear" w:color="auto" w:fill="FFFFFF" w:themeFill="background1"/>
          </w:tcPr>
          <w:p w14:paraId="32DC7660" w14:textId="77777777" w:rsidR="00C04D28" w:rsidRDefault="00C04D28" w:rsidP="00027B7E">
            <w:pPr>
              <w:spacing w:line="240" w:lineRule="auto"/>
              <w:ind w:left="-90"/>
              <w:rPr>
                <w:rFonts w:ascii="Times New Roman" w:eastAsia="Times New Roman" w:hAnsi="Times New Roman" w:cs="Times New Roman"/>
                <w:color w:val="071320"/>
                <w:sz w:val="24"/>
                <w:szCs w:val="24"/>
              </w:rPr>
            </w:pPr>
            <w:r>
              <w:rPr>
                <w:rFonts w:ascii="Times New Roman" w:eastAsia="Times New Roman" w:hAnsi="Times New Roman" w:cs="Times New Roman"/>
                <w:color w:val="071320"/>
                <w:sz w:val="24"/>
                <w:szCs w:val="24"/>
              </w:rPr>
              <w:t>Special educators</w:t>
            </w:r>
          </w:p>
        </w:tc>
        <w:tc>
          <w:tcPr>
            <w:tcW w:w="1387" w:type="dxa"/>
            <w:shd w:val="clear" w:color="auto" w:fill="FFFFFF" w:themeFill="background1"/>
          </w:tcPr>
          <w:p w14:paraId="4EB60955" w14:textId="77777777" w:rsidR="00C04D28" w:rsidRDefault="00C04D28" w:rsidP="00027B7E">
            <w:pPr>
              <w:spacing w:line="240" w:lineRule="auto"/>
              <w:ind w:left="-90"/>
              <w:rPr>
                <w:rFonts w:ascii="Times New Roman" w:eastAsia="Times New Roman" w:hAnsi="Times New Roman" w:cs="Times New Roman"/>
                <w:color w:val="071320"/>
                <w:sz w:val="24"/>
                <w:szCs w:val="24"/>
              </w:rPr>
            </w:pPr>
            <w:r>
              <w:rPr>
                <w:rFonts w:ascii="Times New Roman" w:eastAsia="Times New Roman" w:hAnsi="Times New Roman" w:cs="Times New Roman"/>
                <w:color w:val="071320"/>
                <w:sz w:val="24"/>
                <w:szCs w:val="24"/>
              </w:rPr>
              <w:t>May 2025</w:t>
            </w:r>
          </w:p>
        </w:tc>
      </w:tr>
      <w:tr w:rsidR="00C04D28" w14:paraId="256A2F92" w14:textId="77777777" w:rsidTr="00027B7E">
        <w:trPr>
          <w:trHeight w:val="240"/>
        </w:trPr>
        <w:tc>
          <w:tcPr>
            <w:tcW w:w="270" w:type="dxa"/>
            <w:vMerge/>
            <w:shd w:val="clear" w:color="auto" w:fill="FFFFFF" w:themeFill="background1"/>
          </w:tcPr>
          <w:p w14:paraId="2641AAED" w14:textId="77777777" w:rsidR="00C04D28" w:rsidRDefault="00C04D28" w:rsidP="00027B7E">
            <w:pPr>
              <w:spacing w:line="240" w:lineRule="auto"/>
              <w:rPr>
                <w:rFonts w:ascii="Times New Roman" w:eastAsia="Times New Roman" w:hAnsi="Times New Roman" w:cs="Times New Roman"/>
                <w:b/>
                <w:color w:val="071320"/>
                <w:sz w:val="24"/>
                <w:szCs w:val="24"/>
              </w:rPr>
            </w:pPr>
          </w:p>
        </w:tc>
        <w:tc>
          <w:tcPr>
            <w:tcW w:w="270" w:type="dxa"/>
            <w:shd w:val="clear" w:color="auto" w:fill="FFFFFF" w:themeFill="background1"/>
          </w:tcPr>
          <w:p w14:paraId="40470A22" w14:textId="77777777" w:rsidR="00C04D28" w:rsidRDefault="00C04D28" w:rsidP="00027B7E">
            <w:pPr>
              <w:spacing w:line="240" w:lineRule="auto"/>
              <w:ind w:left="-90"/>
              <w:rPr>
                <w:rFonts w:ascii="Times New Roman" w:eastAsia="Times New Roman" w:hAnsi="Times New Roman" w:cs="Times New Roman"/>
                <w:b/>
                <w:color w:val="071320"/>
                <w:sz w:val="24"/>
                <w:szCs w:val="24"/>
              </w:rPr>
            </w:pPr>
            <w:r>
              <w:rPr>
                <w:rFonts w:ascii="Times New Roman" w:eastAsia="Times New Roman" w:hAnsi="Times New Roman" w:cs="Times New Roman"/>
                <w:b/>
                <w:color w:val="071320"/>
                <w:sz w:val="24"/>
                <w:szCs w:val="24"/>
              </w:rPr>
              <w:t>3</w:t>
            </w:r>
          </w:p>
        </w:tc>
        <w:tc>
          <w:tcPr>
            <w:tcW w:w="4145" w:type="dxa"/>
            <w:shd w:val="clear" w:color="auto" w:fill="FFFFFF" w:themeFill="background1"/>
          </w:tcPr>
          <w:p w14:paraId="005C917F" w14:textId="77777777" w:rsidR="00C04D28" w:rsidRDefault="00C04D28" w:rsidP="00027B7E">
            <w:pPr>
              <w:spacing w:line="240" w:lineRule="auto"/>
              <w:rPr>
                <w:rFonts w:ascii="Times New Roman" w:eastAsia="Times New Roman" w:hAnsi="Times New Roman" w:cs="Times New Roman"/>
                <w:color w:val="071320"/>
                <w:sz w:val="24"/>
                <w:szCs w:val="24"/>
              </w:rPr>
            </w:pPr>
            <w:r>
              <w:rPr>
                <w:rFonts w:ascii="Times New Roman" w:eastAsia="Times New Roman" w:hAnsi="Times New Roman" w:cs="Times New Roman"/>
                <w:color w:val="071320"/>
                <w:sz w:val="24"/>
                <w:szCs w:val="24"/>
              </w:rPr>
              <w:t>Develop an inclusive curriculum for the musical theater program, ensuring accessibility and accommodations.</w:t>
            </w:r>
          </w:p>
        </w:tc>
        <w:tc>
          <w:tcPr>
            <w:tcW w:w="3492" w:type="dxa"/>
            <w:shd w:val="clear" w:color="auto" w:fill="FFFFFF" w:themeFill="background1"/>
          </w:tcPr>
          <w:p w14:paraId="7A467220" w14:textId="77777777" w:rsidR="00C04D28" w:rsidRDefault="00C04D28" w:rsidP="00027B7E">
            <w:pPr>
              <w:spacing w:line="240" w:lineRule="auto"/>
              <w:ind w:left="-90"/>
              <w:rPr>
                <w:rFonts w:ascii="Times New Roman" w:eastAsia="Times New Roman" w:hAnsi="Times New Roman" w:cs="Times New Roman"/>
                <w:color w:val="071320"/>
                <w:sz w:val="24"/>
                <w:szCs w:val="24"/>
              </w:rPr>
            </w:pPr>
            <w:r>
              <w:rPr>
                <w:rFonts w:ascii="Times New Roman" w:eastAsia="Times New Roman" w:hAnsi="Times New Roman" w:cs="Times New Roman"/>
                <w:color w:val="071320"/>
                <w:sz w:val="24"/>
                <w:szCs w:val="24"/>
              </w:rPr>
              <w:t>Special educators, theater and music directors</w:t>
            </w:r>
          </w:p>
        </w:tc>
        <w:tc>
          <w:tcPr>
            <w:tcW w:w="1387" w:type="dxa"/>
            <w:shd w:val="clear" w:color="auto" w:fill="FFFFFF" w:themeFill="background1"/>
          </w:tcPr>
          <w:p w14:paraId="7B953048" w14:textId="77777777" w:rsidR="00C04D28" w:rsidRDefault="00C04D28" w:rsidP="00027B7E">
            <w:pPr>
              <w:spacing w:line="240" w:lineRule="auto"/>
              <w:ind w:left="-90"/>
              <w:rPr>
                <w:rFonts w:ascii="Times New Roman" w:eastAsia="Times New Roman" w:hAnsi="Times New Roman" w:cs="Times New Roman"/>
                <w:color w:val="071320"/>
                <w:sz w:val="24"/>
                <w:szCs w:val="24"/>
              </w:rPr>
            </w:pPr>
            <w:r>
              <w:rPr>
                <w:rFonts w:ascii="Times New Roman" w:eastAsia="Times New Roman" w:hAnsi="Times New Roman" w:cs="Times New Roman"/>
                <w:color w:val="071320"/>
                <w:sz w:val="24"/>
                <w:szCs w:val="24"/>
              </w:rPr>
              <w:t>June 2025</w:t>
            </w:r>
          </w:p>
        </w:tc>
      </w:tr>
      <w:tr w:rsidR="00C04D28" w14:paraId="3F6A11C9" w14:textId="77777777" w:rsidTr="00027B7E">
        <w:trPr>
          <w:trHeight w:val="240"/>
        </w:trPr>
        <w:tc>
          <w:tcPr>
            <w:tcW w:w="270" w:type="dxa"/>
            <w:vMerge/>
            <w:shd w:val="clear" w:color="auto" w:fill="FFFFFF" w:themeFill="background1"/>
          </w:tcPr>
          <w:p w14:paraId="75AFBFCA" w14:textId="77777777" w:rsidR="00C04D28" w:rsidRDefault="00C04D28" w:rsidP="00027B7E">
            <w:pPr>
              <w:spacing w:line="240" w:lineRule="auto"/>
              <w:rPr>
                <w:rFonts w:ascii="Times New Roman" w:eastAsia="Times New Roman" w:hAnsi="Times New Roman" w:cs="Times New Roman"/>
                <w:b/>
                <w:color w:val="071320"/>
                <w:sz w:val="24"/>
                <w:szCs w:val="24"/>
              </w:rPr>
            </w:pPr>
          </w:p>
        </w:tc>
        <w:tc>
          <w:tcPr>
            <w:tcW w:w="270" w:type="dxa"/>
            <w:shd w:val="clear" w:color="auto" w:fill="FFFFFF" w:themeFill="background1"/>
          </w:tcPr>
          <w:p w14:paraId="725D9AB8" w14:textId="77777777" w:rsidR="00C04D28" w:rsidRDefault="00C04D28" w:rsidP="00027B7E">
            <w:pPr>
              <w:spacing w:line="240" w:lineRule="auto"/>
              <w:ind w:left="-90"/>
              <w:rPr>
                <w:rFonts w:ascii="Times New Roman" w:eastAsia="Times New Roman" w:hAnsi="Times New Roman" w:cs="Times New Roman"/>
                <w:b/>
                <w:color w:val="071320"/>
                <w:sz w:val="24"/>
                <w:szCs w:val="24"/>
              </w:rPr>
            </w:pPr>
            <w:r>
              <w:rPr>
                <w:rFonts w:ascii="Times New Roman" w:eastAsia="Times New Roman" w:hAnsi="Times New Roman" w:cs="Times New Roman"/>
                <w:b/>
                <w:color w:val="071320"/>
                <w:sz w:val="24"/>
                <w:szCs w:val="24"/>
              </w:rPr>
              <w:t>4</w:t>
            </w:r>
          </w:p>
        </w:tc>
        <w:tc>
          <w:tcPr>
            <w:tcW w:w="4145" w:type="dxa"/>
            <w:shd w:val="clear" w:color="auto" w:fill="FFFFFF" w:themeFill="background1"/>
          </w:tcPr>
          <w:p w14:paraId="0C058C18" w14:textId="5AF3AB02" w:rsidR="00C04D28" w:rsidRDefault="00C04D28" w:rsidP="00027B7E">
            <w:pPr>
              <w:spacing w:line="240" w:lineRule="auto"/>
              <w:rPr>
                <w:rFonts w:ascii="Times New Roman" w:eastAsia="Times New Roman" w:hAnsi="Times New Roman" w:cs="Times New Roman"/>
                <w:color w:val="071320"/>
                <w:sz w:val="24"/>
                <w:szCs w:val="24"/>
              </w:rPr>
            </w:pPr>
            <w:r>
              <w:rPr>
                <w:rFonts w:ascii="Times New Roman" w:eastAsia="Times New Roman" w:hAnsi="Times New Roman" w:cs="Times New Roman"/>
                <w:color w:val="071320"/>
                <w:sz w:val="24"/>
                <w:szCs w:val="24"/>
              </w:rPr>
              <w:t xml:space="preserve">Identify, recruit, and train peer mentors in adaptive theater techniques and disability awareness. Allow peer mentors time to practice implementation through role-play until 100% fidelity is </w:t>
            </w:r>
            <w:r w:rsidR="00687AF6">
              <w:rPr>
                <w:rFonts w:ascii="Times New Roman" w:eastAsia="Times New Roman" w:hAnsi="Times New Roman" w:cs="Times New Roman"/>
                <w:color w:val="071320"/>
                <w:sz w:val="24"/>
                <w:szCs w:val="24"/>
              </w:rPr>
              <w:t>achieved</w:t>
            </w:r>
            <w:r>
              <w:rPr>
                <w:rFonts w:ascii="Times New Roman" w:eastAsia="Times New Roman" w:hAnsi="Times New Roman" w:cs="Times New Roman"/>
                <w:color w:val="071320"/>
                <w:sz w:val="24"/>
                <w:szCs w:val="24"/>
              </w:rPr>
              <w:t>.</w:t>
            </w:r>
          </w:p>
        </w:tc>
        <w:tc>
          <w:tcPr>
            <w:tcW w:w="3492" w:type="dxa"/>
            <w:shd w:val="clear" w:color="auto" w:fill="FFFFFF" w:themeFill="background1"/>
          </w:tcPr>
          <w:p w14:paraId="4BDC22F3" w14:textId="77777777" w:rsidR="00C04D28" w:rsidRDefault="00C04D28" w:rsidP="00027B7E">
            <w:pPr>
              <w:spacing w:line="240" w:lineRule="auto"/>
              <w:ind w:left="-90"/>
              <w:rPr>
                <w:rFonts w:ascii="Times New Roman" w:eastAsia="Times New Roman" w:hAnsi="Times New Roman" w:cs="Times New Roman"/>
                <w:color w:val="071320"/>
                <w:sz w:val="24"/>
                <w:szCs w:val="24"/>
              </w:rPr>
            </w:pPr>
            <w:r>
              <w:rPr>
                <w:rFonts w:ascii="Times New Roman" w:eastAsia="Times New Roman" w:hAnsi="Times New Roman" w:cs="Times New Roman"/>
                <w:color w:val="071320"/>
                <w:sz w:val="24"/>
                <w:szCs w:val="24"/>
              </w:rPr>
              <w:t>Special educators, paraprofessionals, theater and music directors</w:t>
            </w:r>
          </w:p>
        </w:tc>
        <w:tc>
          <w:tcPr>
            <w:tcW w:w="1387" w:type="dxa"/>
            <w:shd w:val="clear" w:color="auto" w:fill="FFFFFF" w:themeFill="background1"/>
          </w:tcPr>
          <w:p w14:paraId="5735A0E3" w14:textId="77777777" w:rsidR="00C04D28" w:rsidRDefault="00C04D28" w:rsidP="00027B7E">
            <w:pPr>
              <w:spacing w:line="240" w:lineRule="auto"/>
              <w:ind w:left="-90"/>
              <w:rPr>
                <w:rFonts w:ascii="Times New Roman" w:eastAsia="Times New Roman" w:hAnsi="Times New Roman" w:cs="Times New Roman"/>
                <w:color w:val="071320"/>
                <w:sz w:val="24"/>
                <w:szCs w:val="24"/>
              </w:rPr>
            </w:pPr>
            <w:r>
              <w:rPr>
                <w:rFonts w:ascii="Times New Roman" w:eastAsia="Times New Roman" w:hAnsi="Times New Roman" w:cs="Times New Roman"/>
                <w:color w:val="071320"/>
                <w:sz w:val="24"/>
                <w:szCs w:val="24"/>
              </w:rPr>
              <w:t>July 2025</w:t>
            </w:r>
          </w:p>
        </w:tc>
      </w:tr>
      <w:tr w:rsidR="00C04D28" w14:paraId="436845E4" w14:textId="77777777" w:rsidTr="00027B7E">
        <w:trPr>
          <w:trHeight w:val="240"/>
        </w:trPr>
        <w:tc>
          <w:tcPr>
            <w:tcW w:w="270" w:type="dxa"/>
            <w:vMerge w:val="restart"/>
            <w:shd w:val="clear" w:color="auto" w:fill="FFFFFF" w:themeFill="background1"/>
          </w:tcPr>
          <w:p w14:paraId="46FAF364" w14:textId="77777777" w:rsidR="00687AF6" w:rsidRDefault="00C04D28" w:rsidP="00027B7E">
            <w:pPr>
              <w:spacing w:line="240" w:lineRule="auto"/>
              <w:ind w:left="-90"/>
              <w:rPr>
                <w:rFonts w:ascii="Times New Roman" w:eastAsia="Times New Roman" w:hAnsi="Times New Roman" w:cs="Times New Roman"/>
                <w:b/>
                <w:color w:val="071320"/>
                <w:sz w:val="24"/>
                <w:szCs w:val="24"/>
              </w:rPr>
            </w:pPr>
            <w:r>
              <w:rPr>
                <w:rFonts w:ascii="Times New Roman" w:eastAsia="Times New Roman" w:hAnsi="Times New Roman" w:cs="Times New Roman"/>
                <w:b/>
                <w:color w:val="071320"/>
                <w:sz w:val="24"/>
                <w:szCs w:val="24"/>
              </w:rPr>
              <w:t>Phase</w:t>
            </w:r>
          </w:p>
          <w:p w14:paraId="63392662" w14:textId="50F44B56" w:rsidR="00C04D28" w:rsidRDefault="00C04D28" w:rsidP="00027B7E">
            <w:pPr>
              <w:spacing w:line="240" w:lineRule="auto"/>
              <w:ind w:left="-90"/>
              <w:rPr>
                <w:rFonts w:ascii="Times New Roman" w:eastAsia="Times New Roman" w:hAnsi="Times New Roman" w:cs="Times New Roman"/>
                <w:b/>
                <w:color w:val="071320"/>
                <w:sz w:val="24"/>
                <w:szCs w:val="24"/>
              </w:rPr>
            </w:pPr>
            <w:r>
              <w:rPr>
                <w:rFonts w:ascii="Times New Roman" w:eastAsia="Times New Roman" w:hAnsi="Times New Roman" w:cs="Times New Roman"/>
                <w:b/>
                <w:color w:val="071320"/>
                <w:sz w:val="24"/>
                <w:szCs w:val="24"/>
              </w:rPr>
              <w:t xml:space="preserve"> 2</w:t>
            </w:r>
          </w:p>
        </w:tc>
        <w:tc>
          <w:tcPr>
            <w:tcW w:w="270" w:type="dxa"/>
            <w:shd w:val="clear" w:color="auto" w:fill="FFFFFF" w:themeFill="background1"/>
          </w:tcPr>
          <w:p w14:paraId="228259B1" w14:textId="77777777" w:rsidR="00C04D28" w:rsidRDefault="00C04D28" w:rsidP="00027B7E">
            <w:pPr>
              <w:spacing w:line="240" w:lineRule="auto"/>
              <w:ind w:left="-90"/>
              <w:rPr>
                <w:rFonts w:ascii="Times New Roman" w:eastAsia="Times New Roman" w:hAnsi="Times New Roman" w:cs="Times New Roman"/>
                <w:color w:val="071320"/>
                <w:sz w:val="24"/>
                <w:szCs w:val="24"/>
              </w:rPr>
            </w:pPr>
            <w:r>
              <w:rPr>
                <w:rFonts w:ascii="Times New Roman" w:eastAsia="Times New Roman" w:hAnsi="Times New Roman" w:cs="Times New Roman"/>
                <w:b/>
                <w:color w:val="071320"/>
                <w:sz w:val="24"/>
                <w:szCs w:val="24"/>
              </w:rPr>
              <w:t>5</w:t>
            </w:r>
          </w:p>
        </w:tc>
        <w:tc>
          <w:tcPr>
            <w:tcW w:w="4145" w:type="dxa"/>
            <w:shd w:val="clear" w:color="auto" w:fill="FFFFFF" w:themeFill="background1"/>
          </w:tcPr>
          <w:p w14:paraId="7DB797D7" w14:textId="41C66F4D" w:rsidR="00C04D28" w:rsidRDefault="00C04D28" w:rsidP="00027B7E">
            <w:pPr>
              <w:spacing w:line="240" w:lineRule="auto"/>
              <w:rPr>
                <w:rFonts w:ascii="Times New Roman" w:eastAsia="Times New Roman" w:hAnsi="Times New Roman" w:cs="Times New Roman"/>
                <w:color w:val="071320"/>
                <w:sz w:val="24"/>
                <w:szCs w:val="24"/>
              </w:rPr>
            </w:pPr>
            <w:r>
              <w:rPr>
                <w:rFonts w:ascii="Times New Roman" w:eastAsia="Times New Roman" w:hAnsi="Times New Roman" w:cs="Times New Roman"/>
                <w:color w:val="071320"/>
                <w:sz w:val="24"/>
                <w:szCs w:val="24"/>
              </w:rPr>
              <w:t xml:space="preserve">Begin initial weekly rehearsals focused on theater basics, social skill development, and mentor-mentee relationship building. Collect baseline </w:t>
            </w:r>
            <w:r w:rsidR="00687AF6">
              <w:rPr>
                <w:rFonts w:ascii="Times New Roman" w:eastAsia="Times New Roman" w:hAnsi="Times New Roman" w:cs="Times New Roman"/>
                <w:color w:val="071320"/>
                <w:sz w:val="24"/>
                <w:szCs w:val="24"/>
              </w:rPr>
              <w:t xml:space="preserve">data </w:t>
            </w:r>
            <w:r>
              <w:rPr>
                <w:rFonts w:ascii="Times New Roman" w:eastAsia="Times New Roman" w:hAnsi="Times New Roman" w:cs="Times New Roman"/>
                <w:color w:val="071320"/>
                <w:sz w:val="24"/>
                <w:szCs w:val="24"/>
              </w:rPr>
              <w:t>followed by weekly student engagement data.</w:t>
            </w:r>
          </w:p>
        </w:tc>
        <w:tc>
          <w:tcPr>
            <w:tcW w:w="3492" w:type="dxa"/>
            <w:shd w:val="clear" w:color="auto" w:fill="FFFFFF" w:themeFill="background1"/>
          </w:tcPr>
          <w:p w14:paraId="07490A52" w14:textId="77777777" w:rsidR="00C04D28" w:rsidRDefault="00C04D28" w:rsidP="00027B7E">
            <w:pPr>
              <w:spacing w:line="240" w:lineRule="auto"/>
              <w:ind w:left="-90"/>
              <w:rPr>
                <w:rFonts w:ascii="Times New Roman" w:eastAsia="Times New Roman" w:hAnsi="Times New Roman" w:cs="Times New Roman"/>
                <w:color w:val="071320"/>
                <w:sz w:val="24"/>
                <w:szCs w:val="24"/>
              </w:rPr>
            </w:pPr>
            <w:r>
              <w:rPr>
                <w:rFonts w:ascii="Times New Roman" w:eastAsia="Times New Roman" w:hAnsi="Times New Roman" w:cs="Times New Roman"/>
                <w:color w:val="071320"/>
                <w:sz w:val="24"/>
                <w:szCs w:val="24"/>
              </w:rPr>
              <w:t>Special educators, paraprofessionals, theater and music directors</w:t>
            </w:r>
          </w:p>
        </w:tc>
        <w:tc>
          <w:tcPr>
            <w:tcW w:w="1387" w:type="dxa"/>
            <w:shd w:val="clear" w:color="auto" w:fill="FFFFFF" w:themeFill="background1"/>
          </w:tcPr>
          <w:p w14:paraId="181D9EF8" w14:textId="77777777" w:rsidR="00C04D28" w:rsidRDefault="00C04D28" w:rsidP="00027B7E">
            <w:pPr>
              <w:spacing w:line="240" w:lineRule="auto"/>
              <w:ind w:left="-90"/>
              <w:rPr>
                <w:rFonts w:ascii="Times New Roman" w:eastAsia="Times New Roman" w:hAnsi="Times New Roman" w:cs="Times New Roman"/>
                <w:color w:val="071320"/>
                <w:sz w:val="24"/>
                <w:szCs w:val="24"/>
              </w:rPr>
            </w:pPr>
            <w:r>
              <w:rPr>
                <w:rFonts w:ascii="Times New Roman" w:eastAsia="Times New Roman" w:hAnsi="Times New Roman" w:cs="Times New Roman"/>
                <w:color w:val="071320"/>
                <w:sz w:val="24"/>
                <w:szCs w:val="24"/>
              </w:rPr>
              <w:t>August - December 2025</w:t>
            </w:r>
          </w:p>
        </w:tc>
      </w:tr>
      <w:tr w:rsidR="00C04D28" w14:paraId="5245864A" w14:textId="77777777" w:rsidTr="00027B7E">
        <w:trPr>
          <w:trHeight w:val="240"/>
        </w:trPr>
        <w:tc>
          <w:tcPr>
            <w:tcW w:w="270" w:type="dxa"/>
            <w:vMerge/>
            <w:shd w:val="clear" w:color="auto" w:fill="FFFFFF" w:themeFill="background1"/>
          </w:tcPr>
          <w:p w14:paraId="124E25B4" w14:textId="77777777" w:rsidR="00C04D28" w:rsidRDefault="00C04D28" w:rsidP="00027B7E">
            <w:pPr>
              <w:spacing w:line="240" w:lineRule="auto"/>
              <w:rPr>
                <w:rFonts w:ascii="Times New Roman" w:eastAsia="Times New Roman" w:hAnsi="Times New Roman" w:cs="Times New Roman"/>
                <w:b/>
                <w:color w:val="071320"/>
                <w:sz w:val="24"/>
                <w:szCs w:val="24"/>
              </w:rPr>
            </w:pPr>
          </w:p>
        </w:tc>
        <w:tc>
          <w:tcPr>
            <w:tcW w:w="270" w:type="dxa"/>
            <w:shd w:val="clear" w:color="auto" w:fill="FFFFFF" w:themeFill="background1"/>
          </w:tcPr>
          <w:p w14:paraId="5B09371E" w14:textId="77777777" w:rsidR="00C04D28" w:rsidRDefault="00C04D28" w:rsidP="00027B7E">
            <w:pPr>
              <w:spacing w:line="240" w:lineRule="auto"/>
              <w:ind w:left="-90"/>
              <w:rPr>
                <w:rFonts w:ascii="Times New Roman" w:eastAsia="Times New Roman" w:hAnsi="Times New Roman" w:cs="Times New Roman"/>
                <w:b/>
                <w:color w:val="071320"/>
                <w:sz w:val="24"/>
                <w:szCs w:val="24"/>
              </w:rPr>
            </w:pPr>
            <w:r>
              <w:rPr>
                <w:rFonts w:ascii="Times New Roman" w:eastAsia="Times New Roman" w:hAnsi="Times New Roman" w:cs="Times New Roman"/>
                <w:b/>
                <w:color w:val="071320"/>
                <w:sz w:val="24"/>
                <w:szCs w:val="24"/>
              </w:rPr>
              <w:t>6</w:t>
            </w:r>
          </w:p>
        </w:tc>
        <w:tc>
          <w:tcPr>
            <w:tcW w:w="4145" w:type="dxa"/>
            <w:shd w:val="clear" w:color="auto" w:fill="FFFFFF" w:themeFill="background1"/>
          </w:tcPr>
          <w:p w14:paraId="0B9453BE" w14:textId="77777777" w:rsidR="00C04D28" w:rsidRDefault="00C04D28" w:rsidP="00027B7E">
            <w:pPr>
              <w:spacing w:line="240" w:lineRule="auto"/>
              <w:rPr>
                <w:rFonts w:ascii="Times New Roman" w:eastAsia="Times New Roman" w:hAnsi="Times New Roman" w:cs="Times New Roman"/>
                <w:color w:val="071320"/>
                <w:sz w:val="24"/>
                <w:szCs w:val="24"/>
              </w:rPr>
            </w:pPr>
            <w:r>
              <w:rPr>
                <w:rFonts w:ascii="Times New Roman" w:eastAsia="Times New Roman" w:hAnsi="Times New Roman" w:cs="Times New Roman"/>
                <w:color w:val="071320"/>
                <w:sz w:val="24"/>
                <w:szCs w:val="24"/>
              </w:rPr>
              <w:t>Provide a training refresher for staff and peer mentors to ensure continued fidelity in implementation.</w:t>
            </w:r>
          </w:p>
        </w:tc>
        <w:tc>
          <w:tcPr>
            <w:tcW w:w="3492" w:type="dxa"/>
            <w:shd w:val="clear" w:color="auto" w:fill="FFFFFF" w:themeFill="background1"/>
          </w:tcPr>
          <w:p w14:paraId="545D4B55" w14:textId="77777777" w:rsidR="00C04D28" w:rsidRDefault="00C04D28" w:rsidP="00027B7E">
            <w:pPr>
              <w:spacing w:line="240" w:lineRule="auto"/>
              <w:ind w:left="-90"/>
              <w:rPr>
                <w:rFonts w:ascii="Times New Roman" w:eastAsia="Times New Roman" w:hAnsi="Times New Roman" w:cs="Times New Roman"/>
                <w:color w:val="071320"/>
                <w:sz w:val="24"/>
                <w:szCs w:val="24"/>
              </w:rPr>
            </w:pPr>
            <w:r>
              <w:rPr>
                <w:rFonts w:ascii="Times New Roman" w:eastAsia="Times New Roman" w:hAnsi="Times New Roman" w:cs="Times New Roman"/>
                <w:color w:val="071320"/>
                <w:sz w:val="24"/>
                <w:szCs w:val="24"/>
              </w:rPr>
              <w:t>Special educators</w:t>
            </w:r>
          </w:p>
        </w:tc>
        <w:tc>
          <w:tcPr>
            <w:tcW w:w="1387" w:type="dxa"/>
            <w:shd w:val="clear" w:color="auto" w:fill="FFFFFF" w:themeFill="background1"/>
          </w:tcPr>
          <w:p w14:paraId="1A1FD545" w14:textId="77777777" w:rsidR="00C04D28" w:rsidRDefault="00C04D28" w:rsidP="00027B7E">
            <w:pPr>
              <w:spacing w:line="240" w:lineRule="auto"/>
              <w:ind w:left="-90"/>
              <w:rPr>
                <w:rFonts w:ascii="Times New Roman" w:eastAsia="Times New Roman" w:hAnsi="Times New Roman" w:cs="Times New Roman"/>
                <w:color w:val="071320"/>
                <w:sz w:val="24"/>
                <w:szCs w:val="24"/>
              </w:rPr>
            </w:pPr>
            <w:r>
              <w:rPr>
                <w:rFonts w:ascii="Times New Roman" w:eastAsia="Times New Roman" w:hAnsi="Times New Roman" w:cs="Times New Roman"/>
                <w:color w:val="071320"/>
                <w:sz w:val="24"/>
                <w:szCs w:val="24"/>
              </w:rPr>
              <w:t>December 2025</w:t>
            </w:r>
          </w:p>
        </w:tc>
      </w:tr>
      <w:tr w:rsidR="00C04D28" w14:paraId="63226FF6" w14:textId="77777777" w:rsidTr="00027B7E">
        <w:trPr>
          <w:trHeight w:val="240"/>
        </w:trPr>
        <w:tc>
          <w:tcPr>
            <w:tcW w:w="270" w:type="dxa"/>
            <w:vMerge w:val="restart"/>
            <w:shd w:val="clear" w:color="auto" w:fill="FFFFFF" w:themeFill="background1"/>
          </w:tcPr>
          <w:p w14:paraId="04B6FB0D" w14:textId="77777777" w:rsidR="00687AF6" w:rsidRDefault="00C04D28" w:rsidP="00027B7E">
            <w:pPr>
              <w:spacing w:line="240" w:lineRule="auto"/>
              <w:ind w:left="-90"/>
              <w:rPr>
                <w:rFonts w:ascii="Times New Roman" w:eastAsia="Times New Roman" w:hAnsi="Times New Roman" w:cs="Times New Roman"/>
                <w:b/>
                <w:color w:val="071320"/>
                <w:sz w:val="24"/>
                <w:szCs w:val="24"/>
              </w:rPr>
            </w:pPr>
            <w:r>
              <w:rPr>
                <w:rFonts w:ascii="Times New Roman" w:eastAsia="Times New Roman" w:hAnsi="Times New Roman" w:cs="Times New Roman"/>
                <w:b/>
                <w:color w:val="071320"/>
                <w:sz w:val="24"/>
                <w:szCs w:val="24"/>
              </w:rPr>
              <w:t xml:space="preserve">Phase </w:t>
            </w:r>
          </w:p>
          <w:p w14:paraId="2E663BC9" w14:textId="77777777" w:rsidR="00687AF6" w:rsidRDefault="00687AF6" w:rsidP="00027B7E">
            <w:pPr>
              <w:spacing w:line="240" w:lineRule="auto"/>
              <w:ind w:left="-90"/>
              <w:rPr>
                <w:rFonts w:ascii="Times New Roman" w:eastAsia="Times New Roman" w:hAnsi="Times New Roman" w:cs="Times New Roman"/>
                <w:b/>
                <w:color w:val="071320"/>
                <w:sz w:val="24"/>
                <w:szCs w:val="24"/>
              </w:rPr>
            </w:pPr>
          </w:p>
          <w:p w14:paraId="503DB6FF" w14:textId="7AC9E514" w:rsidR="00C04D28" w:rsidRDefault="00C04D28" w:rsidP="00027B7E">
            <w:pPr>
              <w:spacing w:line="240" w:lineRule="auto"/>
              <w:ind w:left="-90"/>
              <w:rPr>
                <w:rFonts w:ascii="Times New Roman" w:eastAsia="Times New Roman" w:hAnsi="Times New Roman" w:cs="Times New Roman"/>
                <w:b/>
                <w:color w:val="071320"/>
                <w:sz w:val="24"/>
                <w:szCs w:val="24"/>
              </w:rPr>
            </w:pPr>
            <w:r>
              <w:rPr>
                <w:rFonts w:ascii="Times New Roman" w:eastAsia="Times New Roman" w:hAnsi="Times New Roman" w:cs="Times New Roman"/>
                <w:b/>
                <w:color w:val="071320"/>
                <w:sz w:val="24"/>
                <w:szCs w:val="24"/>
              </w:rPr>
              <w:t>3</w:t>
            </w:r>
          </w:p>
        </w:tc>
        <w:tc>
          <w:tcPr>
            <w:tcW w:w="270" w:type="dxa"/>
            <w:shd w:val="clear" w:color="auto" w:fill="FFFFFF" w:themeFill="background1"/>
          </w:tcPr>
          <w:p w14:paraId="6AA246FA" w14:textId="77777777" w:rsidR="00C04D28" w:rsidRDefault="00C04D28" w:rsidP="00027B7E">
            <w:pPr>
              <w:spacing w:line="240" w:lineRule="auto"/>
              <w:ind w:left="-90"/>
              <w:rPr>
                <w:rFonts w:ascii="Times New Roman" w:eastAsia="Times New Roman" w:hAnsi="Times New Roman" w:cs="Times New Roman"/>
                <w:color w:val="071320"/>
                <w:sz w:val="24"/>
                <w:szCs w:val="24"/>
              </w:rPr>
            </w:pPr>
            <w:r>
              <w:rPr>
                <w:rFonts w:ascii="Times New Roman" w:eastAsia="Times New Roman" w:hAnsi="Times New Roman" w:cs="Times New Roman"/>
                <w:b/>
                <w:color w:val="071320"/>
                <w:sz w:val="24"/>
                <w:szCs w:val="24"/>
              </w:rPr>
              <w:t>7</w:t>
            </w:r>
          </w:p>
        </w:tc>
        <w:tc>
          <w:tcPr>
            <w:tcW w:w="4145" w:type="dxa"/>
            <w:shd w:val="clear" w:color="auto" w:fill="FFFFFF" w:themeFill="background1"/>
          </w:tcPr>
          <w:p w14:paraId="6E89C5B3" w14:textId="77777777" w:rsidR="00C04D28" w:rsidRDefault="00C04D28" w:rsidP="00027B7E">
            <w:pPr>
              <w:spacing w:line="240" w:lineRule="auto"/>
              <w:rPr>
                <w:rFonts w:ascii="Times New Roman" w:eastAsia="Times New Roman" w:hAnsi="Times New Roman" w:cs="Times New Roman"/>
                <w:color w:val="071320"/>
                <w:sz w:val="24"/>
                <w:szCs w:val="24"/>
              </w:rPr>
            </w:pPr>
            <w:r>
              <w:rPr>
                <w:rFonts w:ascii="Times New Roman" w:eastAsia="Times New Roman" w:hAnsi="Times New Roman" w:cs="Times New Roman"/>
                <w:color w:val="071320"/>
                <w:sz w:val="24"/>
                <w:szCs w:val="24"/>
              </w:rPr>
              <w:t>Transition to weekly full-production rehearsals, integrating performance elements and refining collaboration between students and mentors. Continue to collect weekly student engagement data.</w:t>
            </w:r>
          </w:p>
        </w:tc>
        <w:tc>
          <w:tcPr>
            <w:tcW w:w="3492" w:type="dxa"/>
            <w:shd w:val="clear" w:color="auto" w:fill="FFFFFF" w:themeFill="background1"/>
          </w:tcPr>
          <w:p w14:paraId="36725EE9" w14:textId="77777777" w:rsidR="00C04D28" w:rsidRDefault="00C04D28" w:rsidP="00027B7E">
            <w:pPr>
              <w:spacing w:line="240" w:lineRule="auto"/>
              <w:ind w:left="-90"/>
              <w:rPr>
                <w:rFonts w:ascii="Times New Roman" w:eastAsia="Times New Roman" w:hAnsi="Times New Roman" w:cs="Times New Roman"/>
                <w:color w:val="071320"/>
                <w:sz w:val="24"/>
                <w:szCs w:val="24"/>
              </w:rPr>
            </w:pPr>
            <w:r>
              <w:rPr>
                <w:rFonts w:ascii="Times New Roman" w:eastAsia="Times New Roman" w:hAnsi="Times New Roman" w:cs="Times New Roman"/>
                <w:color w:val="071320"/>
                <w:sz w:val="24"/>
                <w:szCs w:val="24"/>
              </w:rPr>
              <w:t>Special educators, paraprofessionals, theater and music directors</w:t>
            </w:r>
          </w:p>
        </w:tc>
        <w:tc>
          <w:tcPr>
            <w:tcW w:w="1387" w:type="dxa"/>
            <w:shd w:val="clear" w:color="auto" w:fill="FFFFFF" w:themeFill="background1"/>
          </w:tcPr>
          <w:p w14:paraId="5CAFE649" w14:textId="77777777" w:rsidR="00C04D28" w:rsidRDefault="00C04D28" w:rsidP="00027B7E">
            <w:pPr>
              <w:spacing w:line="240" w:lineRule="auto"/>
              <w:ind w:left="-90"/>
              <w:rPr>
                <w:rFonts w:ascii="Times New Roman" w:eastAsia="Times New Roman" w:hAnsi="Times New Roman" w:cs="Times New Roman"/>
                <w:color w:val="071320"/>
                <w:sz w:val="24"/>
                <w:szCs w:val="24"/>
              </w:rPr>
            </w:pPr>
            <w:r>
              <w:rPr>
                <w:rFonts w:ascii="Times New Roman" w:eastAsia="Times New Roman" w:hAnsi="Times New Roman" w:cs="Times New Roman"/>
                <w:color w:val="071320"/>
                <w:sz w:val="24"/>
                <w:szCs w:val="24"/>
              </w:rPr>
              <w:t>January - April 2026</w:t>
            </w:r>
          </w:p>
        </w:tc>
      </w:tr>
      <w:tr w:rsidR="00C04D28" w14:paraId="5A9343C6" w14:textId="77777777" w:rsidTr="00027B7E">
        <w:trPr>
          <w:trHeight w:val="240"/>
        </w:trPr>
        <w:tc>
          <w:tcPr>
            <w:tcW w:w="270" w:type="dxa"/>
            <w:vMerge/>
            <w:shd w:val="clear" w:color="auto" w:fill="FFFFFF" w:themeFill="background1"/>
          </w:tcPr>
          <w:p w14:paraId="3B2E0A5B" w14:textId="77777777" w:rsidR="00C04D28" w:rsidRDefault="00C04D28" w:rsidP="00027B7E">
            <w:pPr>
              <w:spacing w:line="240" w:lineRule="auto"/>
              <w:rPr>
                <w:rFonts w:ascii="Times New Roman" w:eastAsia="Times New Roman" w:hAnsi="Times New Roman" w:cs="Times New Roman"/>
                <w:b/>
                <w:color w:val="071320"/>
                <w:sz w:val="24"/>
                <w:szCs w:val="24"/>
              </w:rPr>
            </w:pPr>
          </w:p>
        </w:tc>
        <w:tc>
          <w:tcPr>
            <w:tcW w:w="270" w:type="dxa"/>
            <w:shd w:val="clear" w:color="auto" w:fill="FFFFFF" w:themeFill="background1"/>
          </w:tcPr>
          <w:p w14:paraId="705024AA" w14:textId="77777777" w:rsidR="00C04D28" w:rsidRDefault="00C04D28" w:rsidP="00027B7E">
            <w:pPr>
              <w:spacing w:line="240" w:lineRule="auto"/>
              <w:ind w:left="-90"/>
              <w:rPr>
                <w:rFonts w:ascii="Times New Roman" w:eastAsia="Times New Roman" w:hAnsi="Times New Roman" w:cs="Times New Roman"/>
                <w:color w:val="071320"/>
                <w:sz w:val="24"/>
                <w:szCs w:val="24"/>
              </w:rPr>
            </w:pPr>
            <w:r>
              <w:rPr>
                <w:rFonts w:ascii="Times New Roman" w:eastAsia="Times New Roman" w:hAnsi="Times New Roman" w:cs="Times New Roman"/>
                <w:b/>
                <w:color w:val="071320"/>
                <w:sz w:val="24"/>
                <w:szCs w:val="24"/>
              </w:rPr>
              <w:t>8</w:t>
            </w:r>
          </w:p>
        </w:tc>
        <w:tc>
          <w:tcPr>
            <w:tcW w:w="4145" w:type="dxa"/>
            <w:shd w:val="clear" w:color="auto" w:fill="FFFFFF" w:themeFill="background1"/>
          </w:tcPr>
          <w:p w14:paraId="4D9B8545" w14:textId="77777777" w:rsidR="00C04D28" w:rsidRDefault="00C04D28" w:rsidP="00027B7E">
            <w:pPr>
              <w:spacing w:line="240" w:lineRule="auto"/>
              <w:rPr>
                <w:rFonts w:ascii="Times New Roman" w:eastAsia="Times New Roman" w:hAnsi="Times New Roman" w:cs="Times New Roman"/>
                <w:color w:val="071320"/>
                <w:sz w:val="24"/>
                <w:szCs w:val="24"/>
              </w:rPr>
            </w:pPr>
            <w:r>
              <w:rPr>
                <w:rFonts w:ascii="Times New Roman" w:eastAsia="Times New Roman" w:hAnsi="Times New Roman" w:cs="Times New Roman"/>
                <w:color w:val="071320"/>
                <w:sz w:val="24"/>
                <w:szCs w:val="24"/>
              </w:rPr>
              <w:t>Host a final musical performance and collect post-program engagement data.</w:t>
            </w:r>
          </w:p>
        </w:tc>
        <w:tc>
          <w:tcPr>
            <w:tcW w:w="3492" w:type="dxa"/>
            <w:shd w:val="clear" w:color="auto" w:fill="FFFFFF" w:themeFill="background1"/>
          </w:tcPr>
          <w:p w14:paraId="6254771D" w14:textId="77777777" w:rsidR="00C04D28" w:rsidRDefault="00C04D28" w:rsidP="00027B7E">
            <w:pPr>
              <w:spacing w:line="240" w:lineRule="auto"/>
              <w:ind w:left="-90"/>
              <w:rPr>
                <w:rFonts w:ascii="Times New Roman" w:eastAsia="Times New Roman" w:hAnsi="Times New Roman" w:cs="Times New Roman"/>
                <w:color w:val="071320"/>
                <w:sz w:val="24"/>
                <w:szCs w:val="24"/>
              </w:rPr>
            </w:pPr>
            <w:r>
              <w:rPr>
                <w:rFonts w:ascii="Times New Roman" w:eastAsia="Times New Roman" w:hAnsi="Times New Roman" w:cs="Times New Roman"/>
                <w:color w:val="071320"/>
                <w:sz w:val="24"/>
                <w:szCs w:val="24"/>
              </w:rPr>
              <w:t>Special educators, paraprofessionals, theater and music directors, theater staff, production team, school administration, peer mentors, participants with disabilities</w:t>
            </w:r>
          </w:p>
        </w:tc>
        <w:tc>
          <w:tcPr>
            <w:tcW w:w="1387" w:type="dxa"/>
            <w:shd w:val="clear" w:color="auto" w:fill="FFFFFF" w:themeFill="background1"/>
          </w:tcPr>
          <w:p w14:paraId="5D6A8593" w14:textId="77777777" w:rsidR="00C04D28" w:rsidRDefault="00C04D28" w:rsidP="00027B7E">
            <w:pPr>
              <w:spacing w:line="240" w:lineRule="auto"/>
              <w:ind w:left="-90"/>
              <w:rPr>
                <w:rFonts w:ascii="Times New Roman" w:eastAsia="Times New Roman" w:hAnsi="Times New Roman" w:cs="Times New Roman"/>
                <w:color w:val="071320"/>
                <w:sz w:val="24"/>
                <w:szCs w:val="24"/>
              </w:rPr>
            </w:pPr>
            <w:r>
              <w:rPr>
                <w:rFonts w:ascii="Times New Roman" w:eastAsia="Times New Roman" w:hAnsi="Times New Roman" w:cs="Times New Roman"/>
                <w:color w:val="071320"/>
                <w:sz w:val="24"/>
                <w:szCs w:val="24"/>
              </w:rPr>
              <w:t>May 2026</w:t>
            </w:r>
          </w:p>
        </w:tc>
      </w:tr>
      <w:tr w:rsidR="00C04D28" w14:paraId="1E1D8FF9" w14:textId="77777777" w:rsidTr="00027B7E">
        <w:trPr>
          <w:trHeight w:val="180"/>
        </w:trPr>
        <w:tc>
          <w:tcPr>
            <w:tcW w:w="9564" w:type="dxa"/>
            <w:gridSpan w:val="5"/>
            <w:shd w:val="clear" w:color="auto" w:fill="FFFFFF" w:themeFill="background1"/>
          </w:tcPr>
          <w:p w14:paraId="5E9BE7EE" w14:textId="77777777" w:rsidR="00C04D28" w:rsidRDefault="00C04D28" w:rsidP="00027B7E">
            <w:pPr>
              <w:spacing w:line="240" w:lineRule="auto"/>
              <w:ind w:left="-90"/>
              <w:rPr>
                <w:rFonts w:ascii="Times New Roman" w:eastAsia="Times New Roman" w:hAnsi="Times New Roman" w:cs="Times New Roman"/>
                <w:b/>
                <w:color w:val="071320"/>
                <w:sz w:val="24"/>
                <w:szCs w:val="24"/>
              </w:rPr>
            </w:pPr>
          </w:p>
        </w:tc>
      </w:tr>
      <w:tr w:rsidR="00C04D28" w14:paraId="62242895" w14:textId="77777777" w:rsidTr="00027B7E">
        <w:trPr>
          <w:trHeight w:val="180"/>
        </w:trPr>
        <w:tc>
          <w:tcPr>
            <w:tcW w:w="4685" w:type="dxa"/>
            <w:gridSpan w:val="3"/>
            <w:shd w:val="clear" w:color="auto" w:fill="FFFFFF" w:themeFill="background1"/>
          </w:tcPr>
          <w:p w14:paraId="6F28F642" w14:textId="77777777" w:rsidR="00C04D28" w:rsidRDefault="00C04D28" w:rsidP="00027B7E">
            <w:pPr>
              <w:spacing w:line="240" w:lineRule="auto"/>
              <w:rPr>
                <w:rFonts w:ascii="Times New Roman" w:eastAsia="Times New Roman" w:hAnsi="Times New Roman" w:cs="Times New Roman"/>
                <w:color w:val="071320"/>
                <w:sz w:val="24"/>
                <w:szCs w:val="24"/>
              </w:rPr>
            </w:pPr>
            <w:r>
              <w:rPr>
                <w:rFonts w:ascii="Times New Roman" w:eastAsia="Times New Roman" w:hAnsi="Times New Roman" w:cs="Times New Roman"/>
                <w:b/>
                <w:color w:val="071320"/>
                <w:sz w:val="24"/>
                <w:szCs w:val="24"/>
              </w:rPr>
              <w:t>Needed Resources</w:t>
            </w:r>
          </w:p>
        </w:tc>
        <w:tc>
          <w:tcPr>
            <w:tcW w:w="4879" w:type="dxa"/>
            <w:gridSpan w:val="2"/>
            <w:shd w:val="clear" w:color="auto" w:fill="FFFFFF" w:themeFill="background1"/>
          </w:tcPr>
          <w:p w14:paraId="117C21AA" w14:textId="77777777" w:rsidR="00C04D28" w:rsidRDefault="00C04D28" w:rsidP="00027B7E">
            <w:pPr>
              <w:spacing w:line="240" w:lineRule="auto"/>
              <w:ind w:left="-90"/>
              <w:rPr>
                <w:rFonts w:ascii="Times New Roman" w:eastAsia="Times New Roman" w:hAnsi="Times New Roman" w:cs="Times New Roman"/>
                <w:color w:val="071320"/>
                <w:sz w:val="24"/>
                <w:szCs w:val="24"/>
              </w:rPr>
            </w:pPr>
            <w:r>
              <w:rPr>
                <w:rFonts w:ascii="Times New Roman" w:eastAsia="Times New Roman" w:hAnsi="Times New Roman" w:cs="Times New Roman"/>
                <w:b/>
                <w:color w:val="071320"/>
                <w:sz w:val="24"/>
                <w:szCs w:val="24"/>
              </w:rPr>
              <w:t>Evaluation Measures</w:t>
            </w:r>
          </w:p>
        </w:tc>
      </w:tr>
      <w:tr w:rsidR="00C04D28" w14:paraId="6C81FC69" w14:textId="77777777" w:rsidTr="00027B7E">
        <w:trPr>
          <w:trHeight w:val="180"/>
        </w:trPr>
        <w:tc>
          <w:tcPr>
            <w:tcW w:w="4685" w:type="dxa"/>
            <w:gridSpan w:val="3"/>
            <w:shd w:val="clear" w:color="auto" w:fill="FFFFFF" w:themeFill="background1"/>
          </w:tcPr>
          <w:p w14:paraId="2035D451" w14:textId="77777777" w:rsidR="00C04D28" w:rsidRDefault="00C04D28" w:rsidP="00027B7E">
            <w:pPr>
              <w:numPr>
                <w:ilvl w:val="0"/>
                <w:numId w:val="2"/>
              </w:numPr>
              <w:spacing w:line="240" w:lineRule="auto"/>
              <w:rPr>
                <w:rFonts w:ascii="Times New Roman" w:eastAsia="Times New Roman" w:hAnsi="Times New Roman" w:cs="Times New Roman"/>
                <w:color w:val="071320"/>
                <w:sz w:val="24"/>
                <w:szCs w:val="24"/>
              </w:rPr>
            </w:pPr>
            <w:r>
              <w:rPr>
                <w:rFonts w:ascii="Times New Roman" w:eastAsia="Times New Roman" w:hAnsi="Times New Roman" w:cs="Times New Roman"/>
                <w:color w:val="071320"/>
                <w:sz w:val="24"/>
                <w:szCs w:val="24"/>
              </w:rPr>
              <w:t>Adaptive theater curriculum and accessible scripts</w:t>
            </w:r>
          </w:p>
          <w:p w14:paraId="4C1EE863" w14:textId="77777777" w:rsidR="00C04D28" w:rsidRDefault="00C04D28" w:rsidP="00027B7E">
            <w:pPr>
              <w:numPr>
                <w:ilvl w:val="0"/>
                <w:numId w:val="2"/>
              </w:numPr>
              <w:spacing w:line="240" w:lineRule="auto"/>
              <w:rPr>
                <w:rFonts w:ascii="Times New Roman" w:eastAsia="Times New Roman" w:hAnsi="Times New Roman" w:cs="Times New Roman"/>
                <w:color w:val="071320"/>
                <w:sz w:val="24"/>
                <w:szCs w:val="24"/>
              </w:rPr>
            </w:pPr>
            <w:r>
              <w:rPr>
                <w:rFonts w:ascii="Times New Roman" w:eastAsia="Times New Roman" w:hAnsi="Times New Roman" w:cs="Times New Roman"/>
                <w:color w:val="071320"/>
                <w:sz w:val="24"/>
                <w:szCs w:val="24"/>
              </w:rPr>
              <w:t>Sensory-friendly rehearsal spaces and flexible scheduling options</w:t>
            </w:r>
          </w:p>
          <w:p w14:paraId="58C60A4F" w14:textId="77777777" w:rsidR="00C04D28" w:rsidRDefault="00C04D28" w:rsidP="00027B7E">
            <w:pPr>
              <w:numPr>
                <w:ilvl w:val="0"/>
                <w:numId w:val="2"/>
              </w:numPr>
              <w:spacing w:line="240" w:lineRule="auto"/>
              <w:rPr>
                <w:rFonts w:ascii="Times New Roman" w:eastAsia="Times New Roman" w:hAnsi="Times New Roman" w:cs="Times New Roman"/>
                <w:color w:val="071320"/>
                <w:sz w:val="24"/>
                <w:szCs w:val="24"/>
              </w:rPr>
            </w:pPr>
            <w:r>
              <w:rPr>
                <w:rFonts w:ascii="Times New Roman" w:eastAsia="Times New Roman" w:hAnsi="Times New Roman" w:cs="Times New Roman"/>
                <w:color w:val="071320"/>
                <w:sz w:val="24"/>
                <w:szCs w:val="24"/>
              </w:rPr>
              <w:t>Training materials for staff and peer mentors</w:t>
            </w:r>
          </w:p>
          <w:p w14:paraId="40866B91" w14:textId="77777777" w:rsidR="00C04D28" w:rsidRDefault="00C04D28" w:rsidP="00027B7E">
            <w:pPr>
              <w:numPr>
                <w:ilvl w:val="0"/>
                <w:numId w:val="2"/>
              </w:numPr>
              <w:spacing w:line="240" w:lineRule="auto"/>
              <w:rPr>
                <w:rFonts w:ascii="Times New Roman" w:eastAsia="Times New Roman" w:hAnsi="Times New Roman" w:cs="Times New Roman"/>
                <w:color w:val="071320"/>
                <w:sz w:val="24"/>
                <w:szCs w:val="24"/>
              </w:rPr>
            </w:pPr>
            <w:r>
              <w:rPr>
                <w:rFonts w:ascii="Times New Roman" w:eastAsia="Times New Roman" w:hAnsi="Times New Roman" w:cs="Times New Roman"/>
                <w:color w:val="071320"/>
                <w:sz w:val="24"/>
                <w:szCs w:val="24"/>
              </w:rPr>
              <w:t>Costumes, props, and set materials</w:t>
            </w:r>
          </w:p>
          <w:p w14:paraId="7FD95E9B" w14:textId="77777777" w:rsidR="00C04D28" w:rsidRDefault="00C04D28" w:rsidP="00027B7E">
            <w:pPr>
              <w:numPr>
                <w:ilvl w:val="0"/>
                <w:numId w:val="2"/>
              </w:numPr>
              <w:spacing w:line="240" w:lineRule="auto"/>
              <w:rPr>
                <w:rFonts w:ascii="Times New Roman" w:eastAsia="Times New Roman" w:hAnsi="Times New Roman" w:cs="Times New Roman"/>
                <w:color w:val="071320"/>
                <w:sz w:val="24"/>
                <w:szCs w:val="24"/>
              </w:rPr>
            </w:pPr>
            <w:r>
              <w:rPr>
                <w:rFonts w:ascii="Times New Roman" w:eastAsia="Times New Roman" w:hAnsi="Times New Roman" w:cs="Times New Roman"/>
                <w:color w:val="071320"/>
                <w:sz w:val="24"/>
                <w:szCs w:val="24"/>
              </w:rPr>
              <w:t>Engagement survey and observational tools for measuring time on-task</w:t>
            </w:r>
          </w:p>
          <w:p w14:paraId="510F64B5" w14:textId="77777777" w:rsidR="00C04D28" w:rsidRDefault="00C04D28" w:rsidP="00027B7E">
            <w:pPr>
              <w:numPr>
                <w:ilvl w:val="0"/>
                <w:numId w:val="2"/>
              </w:numPr>
              <w:spacing w:line="240" w:lineRule="auto"/>
              <w:rPr>
                <w:rFonts w:ascii="Times New Roman" w:eastAsia="Times New Roman" w:hAnsi="Times New Roman" w:cs="Times New Roman"/>
                <w:color w:val="071320"/>
                <w:sz w:val="24"/>
                <w:szCs w:val="24"/>
              </w:rPr>
            </w:pPr>
            <w:r>
              <w:rPr>
                <w:rFonts w:ascii="Times New Roman" w:eastAsia="Times New Roman" w:hAnsi="Times New Roman" w:cs="Times New Roman"/>
                <w:color w:val="071320"/>
                <w:sz w:val="24"/>
                <w:szCs w:val="24"/>
              </w:rPr>
              <w:t>Support from school administration and special education professionals</w:t>
            </w:r>
          </w:p>
        </w:tc>
        <w:tc>
          <w:tcPr>
            <w:tcW w:w="4879" w:type="dxa"/>
            <w:gridSpan w:val="2"/>
            <w:shd w:val="clear" w:color="auto" w:fill="FFFFFF" w:themeFill="background1"/>
          </w:tcPr>
          <w:p w14:paraId="56974C18" w14:textId="77777777" w:rsidR="00C04D28" w:rsidRDefault="00C04D28" w:rsidP="00027B7E">
            <w:pPr>
              <w:numPr>
                <w:ilvl w:val="0"/>
                <w:numId w:val="1"/>
              </w:numPr>
              <w:spacing w:line="240" w:lineRule="auto"/>
              <w:rPr>
                <w:rFonts w:ascii="Times New Roman" w:eastAsia="Times New Roman" w:hAnsi="Times New Roman" w:cs="Times New Roman"/>
                <w:color w:val="071320"/>
                <w:sz w:val="24"/>
                <w:szCs w:val="24"/>
              </w:rPr>
            </w:pPr>
            <w:r>
              <w:rPr>
                <w:rFonts w:ascii="Times New Roman" w:eastAsia="Times New Roman" w:hAnsi="Times New Roman" w:cs="Times New Roman"/>
                <w:color w:val="071320"/>
                <w:sz w:val="24"/>
                <w:szCs w:val="24"/>
              </w:rPr>
              <w:t>Percentage of time on-task during rehearsals, as recorded through structured observations</w:t>
            </w:r>
          </w:p>
          <w:p w14:paraId="054F147B" w14:textId="77777777" w:rsidR="00C04D28" w:rsidRDefault="00C04D28" w:rsidP="00027B7E">
            <w:pPr>
              <w:numPr>
                <w:ilvl w:val="0"/>
                <w:numId w:val="1"/>
              </w:numPr>
              <w:spacing w:line="240" w:lineRule="auto"/>
              <w:rPr>
                <w:rFonts w:ascii="Times New Roman" w:eastAsia="Times New Roman" w:hAnsi="Times New Roman" w:cs="Times New Roman"/>
                <w:color w:val="071320"/>
                <w:sz w:val="24"/>
                <w:szCs w:val="24"/>
              </w:rPr>
            </w:pPr>
            <w:r>
              <w:rPr>
                <w:rFonts w:ascii="Times New Roman" w:eastAsia="Times New Roman" w:hAnsi="Times New Roman" w:cs="Times New Roman"/>
                <w:color w:val="071320"/>
                <w:sz w:val="24"/>
                <w:szCs w:val="24"/>
              </w:rPr>
              <w:t>Engagement survey results measuring confidence, social interaction, and enjoyment, collected and averaged weekly</w:t>
            </w:r>
          </w:p>
          <w:p w14:paraId="45D16B67" w14:textId="77777777" w:rsidR="00C04D28" w:rsidRDefault="00C04D28" w:rsidP="00027B7E">
            <w:pPr>
              <w:numPr>
                <w:ilvl w:val="0"/>
                <w:numId w:val="1"/>
              </w:numPr>
              <w:spacing w:line="240" w:lineRule="auto"/>
              <w:rPr>
                <w:rFonts w:ascii="Times New Roman" w:eastAsia="Times New Roman" w:hAnsi="Times New Roman" w:cs="Times New Roman"/>
                <w:color w:val="071320"/>
                <w:sz w:val="24"/>
                <w:szCs w:val="24"/>
              </w:rPr>
            </w:pPr>
            <w:r>
              <w:rPr>
                <w:rFonts w:ascii="Times New Roman" w:eastAsia="Times New Roman" w:hAnsi="Times New Roman" w:cs="Times New Roman"/>
                <w:color w:val="071320"/>
                <w:sz w:val="24"/>
                <w:szCs w:val="24"/>
              </w:rPr>
              <w:t>Qualitative feedback from students with disabilities, peer mentors, and instructors regarding program effectiveness and areas for improvement</w:t>
            </w:r>
          </w:p>
          <w:p w14:paraId="0E123B84" w14:textId="77777777" w:rsidR="00C04D28" w:rsidRDefault="00C04D28" w:rsidP="00027B7E">
            <w:pPr>
              <w:numPr>
                <w:ilvl w:val="0"/>
                <w:numId w:val="1"/>
              </w:numPr>
              <w:spacing w:line="240" w:lineRule="auto"/>
              <w:rPr>
                <w:rFonts w:ascii="Times New Roman" w:eastAsia="Times New Roman" w:hAnsi="Times New Roman" w:cs="Times New Roman"/>
                <w:color w:val="071320"/>
                <w:sz w:val="24"/>
                <w:szCs w:val="24"/>
              </w:rPr>
            </w:pPr>
            <w:r>
              <w:rPr>
                <w:rFonts w:ascii="Times New Roman" w:eastAsia="Times New Roman" w:hAnsi="Times New Roman" w:cs="Times New Roman"/>
                <w:color w:val="071320"/>
                <w:sz w:val="24"/>
                <w:szCs w:val="24"/>
              </w:rPr>
              <w:t>Final performance participation rates and qualitative assessment of student engagement</w:t>
            </w:r>
          </w:p>
        </w:tc>
      </w:tr>
      <w:tr w:rsidR="00C04D28" w14:paraId="61FE1900" w14:textId="77777777" w:rsidTr="00027B7E">
        <w:trPr>
          <w:trHeight w:val="180"/>
        </w:trPr>
        <w:tc>
          <w:tcPr>
            <w:tcW w:w="9360" w:type="dxa"/>
            <w:gridSpan w:val="5"/>
            <w:shd w:val="clear" w:color="auto" w:fill="FFFFFF" w:themeFill="background1"/>
          </w:tcPr>
          <w:p w14:paraId="51BD3098" w14:textId="77777777" w:rsidR="00C04D28" w:rsidRDefault="00C04D28" w:rsidP="00027B7E">
            <w:pPr>
              <w:spacing w:line="240" w:lineRule="auto"/>
              <w:ind w:left="-90"/>
              <w:rPr>
                <w:rFonts w:ascii="Times New Roman" w:eastAsia="Times New Roman" w:hAnsi="Times New Roman" w:cs="Times New Roman"/>
                <w:b/>
                <w:color w:val="071320"/>
                <w:sz w:val="24"/>
                <w:szCs w:val="24"/>
              </w:rPr>
            </w:pPr>
            <w:r>
              <w:rPr>
                <w:rFonts w:ascii="Times New Roman" w:eastAsia="Times New Roman" w:hAnsi="Times New Roman" w:cs="Times New Roman"/>
                <w:b/>
                <w:color w:val="071320"/>
                <w:sz w:val="24"/>
                <w:szCs w:val="24"/>
              </w:rPr>
              <w:t xml:space="preserve">Notes: </w:t>
            </w:r>
            <w:r>
              <w:rPr>
                <w:rFonts w:ascii="Times New Roman" w:eastAsia="Times New Roman" w:hAnsi="Times New Roman" w:cs="Times New Roman"/>
                <w:color w:val="071320"/>
                <w:sz w:val="24"/>
                <w:szCs w:val="24"/>
              </w:rPr>
              <w:t xml:space="preserve">While the goal would be for each student with disabilities to engage in each rehearsal fully, it will likely be necessary to incorporate frequent breaks, allow excused absences and </w:t>
            </w:r>
            <w:r>
              <w:rPr>
                <w:rFonts w:ascii="Times New Roman" w:eastAsia="Times New Roman" w:hAnsi="Times New Roman" w:cs="Times New Roman"/>
                <w:color w:val="071320"/>
                <w:sz w:val="24"/>
                <w:szCs w:val="24"/>
              </w:rPr>
              <w:lastRenderedPageBreak/>
              <w:t xml:space="preserve">flexible attendance, and encourage the use of sensory tools. While this may vary from a standard theatrical performance, it is critical to promote a feeling of well-being and comfortability of all students during rehearsals and performances. It may also be necessary to alter mentor-mentee pairings if engagement is not improving by the end of Phase 2. </w:t>
            </w:r>
          </w:p>
        </w:tc>
      </w:tr>
    </w:tbl>
    <w:p w14:paraId="6C11F069" w14:textId="77777777" w:rsidR="00C04D28" w:rsidRDefault="00C04D28" w:rsidP="00C04D28">
      <w:pPr>
        <w:spacing w:line="480" w:lineRule="auto"/>
        <w:rPr>
          <w:rFonts w:ascii="Times New Roman" w:eastAsia="Times New Roman" w:hAnsi="Times New Roman" w:cs="Times New Roman"/>
          <w:sz w:val="24"/>
          <w:szCs w:val="24"/>
        </w:rPr>
      </w:pPr>
    </w:p>
    <w:p w14:paraId="0740DD11" w14:textId="77777777" w:rsidR="00C04D28" w:rsidRDefault="00C04D28" w:rsidP="000D15E7">
      <w:pPr>
        <w:spacing w:line="48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Goal Attainment Scale</w:t>
      </w:r>
    </w:p>
    <w:p w14:paraId="5E6D7E76" w14:textId="77777777" w:rsidR="00C04D28" w:rsidRDefault="00C04D28" w:rsidP="00C04D28">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Table 2 provides a goal attainment scale (GAS) for tracking the success of implementing the peer mentor musical theater program. Studies show that students with disabilities demonstrate between a 28% (VanWeelden et al., 2016) and 35% (Ogilvie, 2011) increase in engagement while working with a peer mentor in performing arts settings, so it would be reasonable to aim for a 30% increase in our students’ engagement. Since the second phase of the plan, from August through December 2025, focuses on theater basics and mentor-mentee relationship building, it is expected that the increase in engagement may not reach 30%, but a mid-year check will still be conducted before winter break in December 2025. By the end of the performance cycle, we aim for at least 80% of students with disabilities participating in the peer mentor musical theater program to demonstrate a 30% increase in their engagement. The GAS below provides a structured way to measure engagement outcomes, ensuring that progress within the program is quantifiable. By setting benchmarks ranging from no improvement to significant growth, the GAS will enable educators to track student progress effectively and adjust the program as needed to optimize outcomes.</w:t>
      </w:r>
    </w:p>
    <w:p w14:paraId="661E647D" w14:textId="77777777" w:rsidR="003E3DEF" w:rsidRDefault="003E3DEF" w:rsidP="00C04D28">
      <w:pPr>
        <w:spacing w:line="480" w:lineRule="auto"/>
        <w:rPr>
          <w:rFonts w:ascii="Times New Roman" w:eastAsia="Times New Roman" w:hAnsi="Times New Roman" w:cs="Times New Roman"/>
          <w:b/>
          <w:sz w:val="24"/>
          <w:szCs w:val="24"/>
        </w:rPr>
      </w:pPr>
    </w:p>
    <w:p w14:paraId="299951EE" w14:textId="7A1A82F2" w:rsidR="00C04D28" w:rsidRDefault="00C04D28" w:rsidP="00C04D28">
      <w:pPr>
        <w:spacing w:line="48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Table 2</w:t>
      </w:r>
    </w:p>
    <w:p w14:paraId="79E8E1DD" w14:textId="77777777" w:rsidR="00C04D28" w:rsidRDefault="00C04D28" w:rsidP="00C04D28">
      <w:pPr>
        <w:spacing w:line="480" w:lineRule="auto"/>
        <w:rPr>
          <w:rFonts w:ascii="Times New Roman" w:eastAsia="Times New Roman" w:hAnsi="Times New Roman" w:cs="Times New Roman"/>
          <w:i/>
          <w:color w:val="0F243E"/>
          <w:sz w:val="24"/>
          <w:szCs w:val="24"/>
        </w:rPr>
      </w:pPr>
      <w:r>
        <w:rPr>
          <w:rFonts w:ascii="Times New Roman" w:eastAsia="Times New Roman" w:hAnsi="Times New Roman" w:cs="Times New Roman"/>
          <w:i/>
          <w:sz w:val="24"/>
          <w:szCs w:val="24"/>
        </w:rPr>
        <w:t>Goal Attainment Scale</w:t>
      </w:r>
    </w:p>
    <w:tbl>
      <w:tblPr>
        <w:tblW w:w="96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FFFFFF" w:themeFill="background1"/>
        <w:tblLayout w:type="fixed"/>
        <w:tblLook w:val="0000" w:firstRow="0" w:lastRow="0" w:firstColumn="0" w:lastColumn="0" w:noHBand="0" w:noVBand="0"/>
      </w:tblPr>
      <w:tblGrid>
        <w:gridCol w:w="964"/>
        <w:gridCol w:w="964"/>
        <w:gridCol w:w="965"/>
        <w:gridCol w:w="965"/>
        <w:gridCol w:w="965"/>
        <w:gridCol w:w="965"/>
        <w:gridCol w:w="965"/>
        <w:gridCol w:w="965"/>
        <w:gridCol w:w="965"/>
        <w:gridCol w:w="965"/>
      </w:tblGrid>
      <w:tr w:rsidR="00C04D28" w14:paraId="54A9A5DA" w14:textId="77777777" w:rsidTr="00027B7E">
        <w:trPr>
          <w:trHeight w:val="240"/>
        </w:trPr>
        <w:tc>
          <w:tcPr>
            <w:tcW w:w="9640" w:type="dxa"/>
            <w:gridSpan w:val="10"/>
            <w:shd w:val="clear" w:color="auto" w:fill="FFFFFF" w:themeFill="background1"/>
          </w:tcPr>
          <w:p w14:paraId="762DC348" w14:textId="77777777" w:rsidR="00C04D28" w:rsidRDefault="00C04D28" w:rsidP="00027B7E">
            <w:pPr>
              <w:spacing w:line="240" w:lineRule="auto"/>
              <w:ind w:left="-90"/>
              <w:rPr>
                <w:rFonts w:ascii="Times New Roman" w:eastAsia="Times New Roman" w:hAnsi="Times New Roman" w:cs="Times New Roman"/>
                <w:b/>
                <w:color w:val="071320"/>
                <w:sz w:val="24"/>
                <w:szCs w:val="24"/>
              </w:rPr>
            </w:pPr>
            <w:r>
              <w:rPr>
                <w:rFonts w:ascii="Times New Roman" w:eastAsia="Times New Roman" w:hAnsi="Times New Roman" w:cs="Times New Roman"/>
                <w:b/>
                <w:color w:val="071320"/>
                <w:sz w:val="24"/>
                <w:szCs w:val="24"/>
              </w:rPr>
              <w:t xml:space="preserve">Goal: </w:t>
            </w:r>
            <w:r>
              <w:rPr>
                <w:rFonts w:ascii="Times New Roman" w:eastAsia="Times New Roman" w:hAnsi="Times New Roman" w:cs="Times New Roman"/>
                <w:color w:val="071320"/>
                <w:sz w:val="24"/>
                <w:szCs w:val="24"/>
              </w:rPr>
              <w:t xml:space="preserve"> By May 2026, at least 80% of students with disabilities participating in the peer mentor musical theater program will demonstrate a 30% increase in engagement, as measured by the percent of time on-task during rehearsals and an engagement survey assessing confidence, social interaction, and enjoyment. The program will provide adaptive scripts, sensory-friendly rehearsal </w:t>
            </w:r>
            <w:r>
              <w:rPr>
                <w:rFonts w:ascii="Times New Roman" w:eastAsia="Times New Roman" w:hAnsi="Times New Roman" w:cs="Times New Roman"/>
                <w:color w:val="071320"/>
                <w:sz w:val="24"/>
                <w:szCs w:val="24"/>
              </w:rPr>
              <w:lastRenderedPageBreak/>
              <w:t>spaces, and trained peer mentors to ensure that all students can participate fully in both the learning process and the final performance.</w:t>
            </w:r>
          </w:p>
        </w:tc>
      </w:tr>
      <w:tr w:rsidR="00C04D28" w14:paraId="068A7875" w14:textId="77777777" w:rsidTr="00027B7E">
        <w:trPr>
          <w:trHeight w:val="240"/>
        </w:trPr>
        <w:tc>
          <w:tcPr>
            <w:tcW w:w="4820" w:type="dxa"/>
            <w:gridSpan w:val="5"/>
            <w:shd w:val="clear" w:color="auto" w:fill="FFFFFF" w:themeFill="background1"/>
          </w:tcPr>
          <w:p w14:paraId="0B4C906A" w14:textId="77777777" w:rsidR="00C04D28" w:rsidRPr="00146C12" w:rsidRDefault="00C04D28" w:rsidP="00027B7E">
            <w:pPr>
              <w:spacing w:line="240" w:lineRule="auto"/>
              <w:jc w:val="center"/>
              <w:rPr>
                <w:rFonts w:ascii="Times New Roman" w:eastAsia="Times New Roman" w:hAnsi="Times New Roman" w:cs="Times New Roman"/>
                <w:b/>
                <w:bCs/>
                <w:color w:val="0F243E"/>
                <w:sz w:val="24"/>
                <w:szCs w:val="24"/>
              </w:rPr>
            </w:pPr>
            <w:r w:rsidRPr="00146C12">
              <w:rPr>
                <w:rFonts w:ascii="Times New Roman" w:eastAsia="Times New Roman" w:hAnsi="Times New Roman" w:cs="Times New Roman"/>
                <w:b/>
                <w:bCs/>
                <w:color w:val="0F243E"/>
                <w:sz w:val="24"/>
                <w:szCs w:val="24"/>
              </w:rPr>
              <w:lastRenderedPageBreak/>
              <w:t>Degree of Attainment:  December 2025</w:t>
            </w:r>
          </w:p>
        </w:tc>
        <w:tc>
          <w:tcPr>
            <w:tcW w:w="4820" w:type="dxa"/>
            <w:gridSpan w:val="5"/>
            <w:shd w:val="clear" w:color="auto" w:fill="FFFFFF" w:themeFill="background1"/>
          </w:tcPr>
          <w:p w14:paraId="134CDB6C" w14:textId="77777777" w:rsidR="00C04D28" w:rsidRPr="00146C12" w:rsidRDefault="00C04D28" w:rsidP="00027B7E">
            <w:pPr>
              <w:spacing w:line="240" w:lineRule="auto"/>
              <w:jc w:val="center"/>
              <w:rPr>
                <w:rFonts w:ascii="Times New Roman" w:eastAsia="Times New Roman" w:hAnsi="Times New Roman" w:cs="Times New Roman"/>
                <w:b/>
                <w:bCs/>
                <w:color w:val="0F243E"/>
                <w:sz w:val="24"/>
                <w:szCs w:val="24"/>
              </w:rPr>
            </w:pPr>
            <w:r w:rsidRPr="00146C12">
              <w:rPr>
                <w:rFonts w:ascii="Times New Roman" w:eastAsia="Times New Roman" w:hAnsi="Times New Roman" w:cs="Times New Roman"/>
                <w:b/>
                <w:bCs/>
                <w:color w:val="0F243E"/>
                <w:sz w:val="24"/>
                <w:szCs w:val="24"/>
              </w:rPr>
              <w:t>Degree of Attainment:  May 2026</w:t>
            </w:r>
          </w:p>
        </w:tc>
      </w:tr>
      <w:tr w:rsidR="00C04D28" w14:paraId="4CFE274B" w14:textId="77777777" w:rsidTr="00027B7E">
        <w:trPr>
          <w:trHeight w:val="240"/>
        </w:trPr>
        <w:tc>
          <w:tcPr>
            <w:tcW w:w="964" w:type="dxa"/>
            <w:tcBorders>
              <w:bottom w:val="single" w:sz="4" w:space="0" w:color="000000"/>
            </w:tcBorders>
            <w:shd w:val="clear" w:color="auto" w:fill="FFFFFF" w:themeFill="background1"/>
          </w:tcPr>
          <w:p w14:paraId="093BD927" w14:textId="77777777" w:rsidR="00C04D28" w:rsidRPr="00146C12" w:rsidRDefault="00C04D28" w:rsidP="00027B7E">
            <w:pPr>
              <w:spacing w:line="240" w:lineRule="auto"/>
              <w:jc w:val="center"/>
              <w:rPr>
                <w:rFonts w:ascii="Times New Roman" w:eastAsia="Times New Roman" w:hAnsi="Times New Roman" w:cs="Times New Roman"/>
                <w:b/>
                <w:bCs/>
                <w:color w:val="0F243E"/>
                <w:sz w:val="24"/>
                <w:szCs w:val="24"/>
              </w:rPr>
            </w:pPr>
            <w:r w:rsidRPr="00146C12">
              <w:rPr>
                <w:rFonts w:ascii="Times New Roman" w:eastAsia="Times New Roman" w:hAnsi="Times New Roman" w:cs="Times New Roman"/>
                <w:b/>
                <w:bCs/>
                <w:color w:val="0F243E"/>
                <w:sz w:val="24"/>
                <w:szCs w:val="24"/>
              </w:rPr>
              <w:t>-2</w:t>
            </w:r>
          </w:p>
        </w:tc>
        <w:tc>
          <w:tcPr>
            <w:tcW w:w="964" w:type="dxa"/>
            <w:tcBorders>
              <w:bottom w:val="single" w:sz="4" w:space="0" w:color="000000"/>
            </w:tcBorders>
            <w:shd w:val="clear" w:color="auto" w:fill="FFFFFF" w:themeFill="background1"/>
          </w:tcPr>
          <w:p w14:paraId="58066CEE" w14:textId="77777777" w:rsidR="00C04D28" w:rsidRPr="00146C12" w:rsidRDefault="00C04D28" w:rsidP="00027B7E">
            <w:pPr>
              <w:spacing w:line="240" w:lineRule="auto"/>
              <w:jc w:val="center"/>
              <w:rPr>
                <w:rFonts w:ascii="Times New Roman" w:eastAsia="Times New Roman" w:hAnsi="Times New Roman" w:cs="Times New Roman"/>
                <w:b/>
                <w:bCs/>
                <w:color w:val="0F243E"/>
                <w:sz w:val="24"/>
                <w:szCs w:val="24"/>
              </w:rPr>
            </w:pPr>
            <w:r w:rsidRPr="00146C12">
              <w:rPr>
                <w:rFonts w:ascii="Times New Roman" w:eastAsia="Times New Roman" w:hAnsi="Times New Roman" w:cs="Times New Roman"/>
                <w:b/>
                <w:bCs/>
                <w:color w:val="0F243E"/>
                <w:sz w:val="24"/>
                <w:szCs w:val="24"/>
              </w:rPr>
              <w:t>-1</w:t>
            </w:r>
          </w:p>
        </w:tc>
        <w:tc>
          <w:tcPr>
            <w:tcW w:w="964" w:type="dxa"/>
            <w:tcBorders>
              <w:bottom w:val="single" w:sz="4" w:space="0" w:color="000000"/>
            </w:tcBorders>
            <w:shd w:val="clear" w:color="auto" w:fill="FFFFFF" w:themeFill="background1"/>
          </w:tcPr>
          <w:p w14:paraId="098DD668" w14:textId="77777777" w:rsidR="00C04D28" w:rsidRPr="00146C12" w:rsidRDefault="00C04D28" w:rsidP="00027B7E">
            <w:pPr>
              <w:spacing w:line="240" w:lineRule="auto"/>
              <w:jc w:val="center"/>
              <w:rPr>
                <w:rFonts w:ascii="Times New Roman" w:eastAsia="Times New Roman" w:hAnsi="Times New Roman" w:cs="Times New Roman"/>
                <w:b/>
                <w:bCs/>
                <w:color w:val="0F243E"/>
                <w:sz w:val="24"/>
                <w:szCs w:val="24"/>
              </w:rPr>
            </w:pPr>
            <w:r w:rsidRPr="00146C12">
              <w:rPr>
                <w:rFonts w:ascii="Times New Roman" w:eastAsia="Times New Roman" w:hAnsi="Times New Roman" w:cs="Times New Roman"/>
                <w:b/>
                <w:bCs/>
                <w:color w:val="0F243E"/>
                <w:sz w:val="24"/>
                <w:szCs w:val="24"/>
              </w:rPr>
              <w:t>0</w:t>
            </w:r>
          </w:p>
        </w:tc>
        <w:tc>
          <w:tcPr>
            <w:tcW w:w="964" w:type="dxa"/>
            <w:tcBorders>
              <w:bottom w:val="single" w:sz="4" w:space="0" w:color="000000"/>
            </w:tcBorders>
            <w:shd w:val="clear" w:color="auto" w:fill="FFFFFF" w:themeFill="background1"/>
          </w:tcPr>
          <w:p w14:paraId="2167157F" w14:textId="77777777" w:rsidR="00C04D28" w:rsidRPr="00146C12" w:rsidRDefault="00C04D28" w:rsidP="00027B7E">
            <w:pPr>
              <w:spacing w:line="240" w:lineRule="auto"/>
              <w:jc w:val="center"/>
              <w:rPr>
                <w:rFonts w:ascii="Times New Roman" w:eastAsia="Times New Roman" w:hAnsi="Times New Roman" w:cs="Times New Roman"/>
                <w:b/>
                <w:bCs/>
                <w:color w:val="0F243E"/>
                <w:sz w:val="24"/>
                <w:szCs w:val="24"/>
              </w:rPr>
            </w:pPr>
            <w:r w:rsidRPr="00146C12">
              <w:rPr>
                <w:rFonts w:ascii="Times New Roman" w:eastAsia="Times New Roman" w:hAnsi="Times New Roman" w:cs="Times New Roman"/>
                <w:b/>
                <w:bCs/>
                <w:color w:val="0F243E"/>
                <w:sz w:val="24"/>
                <w:szCs w:val="24"/>
              </w:rPr>
              <w:t>1</w:t>
            </w:r>
          </w:p>
        </w:tc>
        <w:tc>
          <w:tcPr>
            <w:tcW w:w="964" w:type="dxa"/>
            <w:tcBorders>
              <w:bottom w:val="single" w:sz="4" w:space="0" w:color="000000"/>
            </w:tcBorders>
            <w:shd w:val="clear" w:color="auto" w:fill="FFFFFF" w:themeFill="background1"/>
          </w:tcPr>
          <w:p w14:paraId="0AB06814" w14:textId="77777777" w:rsidR="00C04D28" w:rsidRPr="00146C12" w:rsidRDefault="00C04D28" w:rsidP="00027B7E">
            <w:pPr>
              <w:spacing w:line="240" w:lineRule="auto"/>
              <w:jc w:val="center"/>
              <w:rPr>
                <w:rFonts w:ascii="Times New Roman" w:eastAsia="Times New Roman" w:hAnsi="Times New Roman" w:cs="Times New Roman"/>
                <w:b/>
                <w:bCs/>
                <w:color w:val="0F243E"/>
                <w:sz w:val="24"/>
                <w:szCs w:val="24"/>
              </w:rPr>
            </w:pPr>
            <w:r w:rsidRPr="00146C12">
              <w:rPr>
                <w:rFonts w:ascii="Times New Roman" w:eastAsia="Times New Roman" w:hAnsi="Times New Roman" w:cs="Times New Roman"/>
                <w:b/>
                <w:bCs/>
                <w:color w:val="0F243E"/>
                <w:sz w:val="24"/>
                <w:szCs w:val="24"/>
              </w:rPr>
              <w:t>2</w:t>
            </w:r>
          </w:p>
        </w:tc>
        <w:tc>
          <w:tcPr>
            <w:tcW w:w="964" w:type="dxa"/>
            <w:tcBorders>
              <w:bottom w:val="single" w:sz="4" w:space="0" w:color="000000"/>
            </w:tcBorders>
            <w:shd w:val="clear" w:color="auto" w:fill="FFFFFF" w:themeFill="background1"/>
          </w:tcPr>
          <w:p w14:paraId="2C9590EC" w14:textId="77777777" w:rsidR="00C04D28" w:rsidRPr="00146C12" w:rsidRDefault="00C04D28" w:rsidP="00027B7E">
            <w:pPr>
              <w:spacing w:line="240" w:lineRule="auto"/>
              <w:jc w:val="center"/>
              <w:rPr>
                <w:rFonts w:ascii="Times New Roman" w:eastAsia="Times New Roman" w:hAnsi="Times New Roman" w:cs="Times New Roman"/>
                <w:b/>
                <w:bCs/>
                <w:color w:val="0F243E"/>
                <w:sz w:val="24"/>
                <w:szCs w:val="24"/>
              </w:rPr>
            </w:pPr>
            <w:r w:rsidRPr="00146C12">
              <w:rPr>
                <w:rFonts w:ascii="Times New Roman" w:eastAsia="Times New Roman" w:hAnsi="Times New Roman" w:cs="Times New Roman"/>
                <w:b/>
                <w:bCs/>
                <w:color w:val="0F243E"/>
                <w:sz w:val="24"/>
                <w:szCs w:val="24"/>
              </w:rPr>
              <w:t>-2</w:t>
            </w:r>
          </w:p>
        </w:tc>
        <w:tc>
          <w:tcPr>
            <w:tcW w:w="964" w:type="dxa"/>
            <w:tcBorders>
              <w:bottom w:val="single" w:sz="4" w:space="0" w:color="000000"/>
            </w:tcBorders>
            <w:shd w:val="clear" w:color="auto" w:fill="FFFFFF" w:themeFill="background1"/>
          </w:tcPr>
          <w:p w14:paraId="00E5766B" w14:textId="77777777" w:rsidR="00C04D28" w:rsidRPr="00146C12" w:rsidRDefault="00C04D28" w:rsidP="00027B7E">
            <w:pPr>
              <w:spacing w:line="240" w:lineRule="auto"/>
              <w:jc w:val="center"/>
              <w:rPr>
                <w:rFonts w:ascii="Times New Roman" w:eastAsia="Times New Roman" w:hAnsi="Times New Roman" w:cs="Times New Roman"/>
                <w:b/>
                <w:bCs/>
                <w:color w:val="0F243E"/>
                <w:sz w:val="24"/>
                <w:szCs w:val="24"/>
              </w:rPr>
            </w:pPr>
            <w:r w:rsidRPr="00146C12">
              <w:rPr>
                <w:rFonts w:ascii="Times New Roman" w:eastAsia="Times New Roman" w:hAnsi="Times New Roman" w:cs="Times New Roman"/>
                <w:b/>
                <w:bCs/>
                <w:color w:val="0F243E"/>
                <w:sz w:val="24"/>
                <w:szCs w:val="24"/>
              </w:rPr>
              <w:t>-1</w:t>
            </w:r>
          </w:p>
        </w:tc>
        <w:tc>
          <w:tcPr>
            <w:tcW w:w="964" w:type="dxa"/>
            <w:tcBorders>
              <w:bottom w:val="single" w:sz="4" w:space="0" w:color="000000"/>
            </w:tcBorders>
            <w:shd w:val="clear" w:color="auto" w:fill="FFFFFF" w:themeFill="background1"/>
          </w:tcPr>
          <w:p w14:paraId="7DFCA1B0" w14:textId="77777777" w:rsidR="00C04D28" w:rsidRPr="00146C12" w:rsidRDefault="00C04D28" w:rsidP="00027B7E">
            <w:pPr>
              <w:spacing w:line="240" w:lineRule="auto"/>
              <w:jc w:val="center"/>
              <w:rPr>
                <w:rFonts w:ascii="Times New Roman" w:eastAsia="Times New Roman" w:hAnsi="Times New Roman" w:cs="Times New Roman"/>
                <w:b/>
                <w:bCs/>
                <w:color w:val="0F243E"/>
                <w:sz w:val="24"/>
                <w:szCs w:val="24"/>
              </w:rPr>
            </w:pPr>
            <w:r w:rsidRPr="00146C12">
              <w:rPr>
                <w:rFonts w:ascii="Times New Roman" w:eastAsia="Times New Roman" w:hAnsi="Times New Roman" w:cs="Times New Roman"/>
                <w:b/>
                <w:bCs/>
                <w:color w:val="0F243E"/>
                <w:sz w:val="24"/>
                <w:szCs w:val="24"/>
              </w:rPr>
              <w:t>0</w:t>
            </w:r>
          </w:p>
        </w:tc>
        <w:tc>
          <w:tcPr>
            <w:tcW w:w="964" w:type="dxa"/>
            <w:tcBorders>
              <w:bottom w:val="single" w:sz="4" w:space="0" w:color="000000"/>
            </w:tcBorders>
            <w:shd w:val="clear" w:color="auto" w:fill="FFFFFF" w:themeFill="background1"/>
          </w:tcPr>
          <w:p w14:paraId="5FD3CD54" w14:textId="77777777" w:rsidR="00C04D28" w:rsidRPr="00146C12" w:rsidRDefault="00C04D28" w:rsidP="00027B7E">
            <w:pPr>
              <w:spacing w:line="240" w:lineRule="auto"/>
              <w:jc w:val="center"/>
              <w:rPr>
                <w:rFonts w:ascii="Times New Roman" w:eastAsia="Times New Roman" w:hAnsi="Times New Roman" w:cs="Times New Roman"/>
                <w:b/>
                <w:bCs/>
                <w:color w:val="0F243E"/>
                <w:sz w:val="24"/>
                <w:szCs w:val="24"/>
              </w:rPr>
            </w:pPr>
            <w:r w:rsidRPr="00146C12">
              <w:rPr>
                <w:rFonts w:ascii="Times New Roman" w:eastAsia="Times New Roman" w:hAnsi="Times New Roman" w:cs="Times New Roman"/>
                <w:b/>
                <w:bCs/>
                <w:color w:val="0F243E"/>
                <w:sz w:val="24"/>
                <w:szCs w:val="24"/>
              </w:rPr>
              <w:t>1</w:t>
            </w:r>
          </w:p>
        </w:tc>
        <w:tc>
          <w:tcPr>
            <w:tcW w:w="964" w:type="dxa"/>
            <w:tcBorders>
              <w:bottom w:val="single" w:sz="4" w:space="0" w:color="000000"/>
            </w:tcBorders>
            <w:shd w:val="clear" w:color="auto" w:fill="FFFFFF" w:themeFill="background1"/>
          </w:tcPr>
          <w:p w14:paraId="5B790693" w14:textId="77777777" w:rsidR="00C04D28" w:rsidRPr="00146C12" w:rsidRDefault="00C04D28" w:rsidP="00027B7E">
            <w:pPr>
              <w:spacing w:line="240" w:lineRule="auto"/>
              <w:jc w:val="center"/>
              <w:rPr>
                <w:rFonts w:ascii="Times New Roman" w:eastAsia="Times New Roman" w:hAnsi="Times New Roman" w:cs="Times New Roman"/>
                <w:b/>
                <w:bCs/>
                <w:color w:val="0F243E"/>
                <w:sz w:val="24"/>
                <w:szCs w:val="24"/>
              </w:rPr>
            </w:pPr>
            <w:r w:rsidRPr="00146C12">
              <w:rPr>
                <w:rFonts w:ascii="Times New Roman" w:eastAsia="Times New Roman" w:hAnsi="Times New Roman" w:cs="Times New Roman"/>
                <w:b/>
                <w:bCs/>
                <w:color w:val="0F243E"/>
                <w:sz w:val="24"/>
                <w:szCs w:val="24"/>
              </w:rPr>
              <w:t>2</w:t>
            </w:r>
          </w:p>
        </w:tc>
      </w:tr>
      <w:tr w:rsidR="00C04D28" w14:paraId="594FF827" w14:textId="77777777" w:rsidTr="00027B7E">
        <w:trPr>
          <w:trHeight w:val="1160"/>
        </w:trPr>
        <w:tc>
          <w:tcPr>
            <w:tcW w:w="964" w:type="dxa"/>
            <w:shd w:val="clear" w:color="auto" w:fill="FFFFFF" w:themeFill="background1"/>
          </w:tcPr>
          <w:p w14:paraId="4D3645AE" w14:textId="2121477D" w:rsidR="00C04D28" w:rsidRPr="00B11AEF" w:rsidRDefault="00C04D28" w:rsidP="00027B7E">
            <w:pPr>
              <w:spacing w:line="240" w:lineRule="auto"/>
              <w:rPr>
                <w:rFonts w:ascii="Times New Roman" w:eastAsia="Times New Roman" w:hAnsi="Times New Roman" w:cs="Times New Roman"/>
                <w:sz w:val="20"/>
                <w:szCs w:val="20"/>
              </w:rPr>
            </w:pPr>
            <w:r w:rsidRPr="00B11AEF">
              <w:rPr>
                <w:rFonts w:ascii="Times New Roman" w:eastAsia="Times New Roman" w:hAnsi="Times New Roman" w:cs="Times New Roman"/>
                <w:sz w:val="20"/>
                <w:szCs w:val="20"/>
              </w:rPr>
              <w:t>No increase in the percent of student engage</w:t>
            </w:r>
            <w:r w:rsidR="00B11AEF" w:rsidRPr="00B11AEF">
              <w:rPr>
                <w:rFonts w:ascii="Times New Roman" w:eastAsia="Times New Roman" w:hAnsi="Times New Roman" w:cs="Times New Roman"/>
                <w:sz w:val="20"/>
                <w:szCs w:val="20"/>
              </w:rPr>
              <w:t>-</w:t>
            </w:r>
            <w:proofErr w:type="spellStart"/>
            <w:r w:rsidRPr="00B11AEF">
              <w:rPr>
                <w:rFonts w:ascii="Times New Roman" w:eastAsia="Times New Roman" w:hAnsi="Times New Roman" w:cs="Times New Roman"/>
                <w:sz w:val="20"/>
                <w:szCs w:val="20"/>
              </w:rPr>
              <w:t>ment</w:t>
            </w:r>
            <w:proofErr w:type="spellEnd"/>
            <w:r w:rsidRPr="00B11AEF">
              <w:rPr>
                <w:rFonts w:ascii="Times New Roman" w:eastAsia="Times New Roman" w:hAnsi="Times New Roman" w:cs="Times New Roman"/>
                <w:sz w:val="20"/>
                <w:szCs w:val="20"/>
              </w:rPr>
              <w:t xml:space="preserve"> averaged weekly</w:t>
            </w:r>
          </w:p>
        </w:tc>
        <w:tc>
          <w:tcPr>
            <w:tcW w:w="964" w:type="dxa"/>
            <w:shd w:val="clear" w:color="auto" w:fill="FFFFFF" w:themeFill="background1"/>
          </w:tcPr>
          <w:p w14:paraId="361C1175" w14:textId="762F2280" w:rsidR="00C04D28" w:rsidRPr="00B11AEF" w:rsidRDefault="00C04D28" w:rsidP="00027B7E">
            <w:pPr>
              <w:spacing w:line="240" w:lineRule="auto"/>
              <w:rPr>
                <w:rFonts w:ascii="Times New Roman" w:eastAsia="Times New Roman" w:hAnsi="Times New Roman" w:cs="Times New Roman"/>
                <w:sz w:val="20"/>
                <w:szCs w:val="20"/>
              </w:rPr>
            </w:pPr>
            <w:r w:rsidRPr="00B11AEF">
              <w:rPr>
                <w:rFonts w:ascii="Times New Roman" w:eastAsia="Times New Roman" w:hAnsi="Times New Roman" w:cs="Times New Roman"/>
                <w:sz w:val="20"/>
                <w:szCs w:val="20"/>
              </w:rPr>
              <w:t>15% increase in the percent of student engage</w:t>
            </w:r>
            <w:r w:rsidR="00B11AEF">
              <w:rPr>
                <w:rFonts w:ascii="Times New Roman" w:eastAsia="Times New Roman" w:hAnsi="Times New Roman" w:cs="Times New Roman"/>
                <w:sz w:val="20"/>
                <w:szCs w:val="20"/>
              </w:rPr>
              <w:t>-</w:t>
            </w:r>
            <w:proofErr w:type="spellStart"/>
            <w:r w:rsidRPr="00B11AEF">
              <w:rPr>
                <w:rFonts w:ascii="Times New Roman" w:eastAsia="Times New Roman" w:hAnsi="Times New Roman" w:cs="Times New Roman"/>
                <w:sz w:val="20"/>
                <w:szCs w:val="20"/>
              </w:rPr>
              <w:t>ment</w:t>
            </w:r>
            <w:proofErr w:type="spellEnd"/>
            <w:r w:rsidRPr="00B11AEF">
              <w:rPr>
                <w:rFonts w:ascii="Times New Roman" w:eastAsia="Times New Roman" w:hAnsi="Times New Roman" w:cs="Times New Roman"/>
                <w:sz w:val="20"/>
                <w:szCs w:val="20"/>
              </w:rPr>
              <w:t xml:space="preserve"> averaged weekly</w:t>
            </w:r>
          </w:p>
        </w:tc>
        <w:tc>
          <w:tcPr>
            <w:tcW w:w="964" w:type="dxa"/>
            <w:shd w:val="clear" w:color="auto" w:fill="FFFFFF" w:themeFill="background1"/>
          </w:tcPr>
          <w:p w14:paraId="6DD688E6" w14:textId="094B7C7E" w:rsidR="00C04D28" w:rsidRPr="00B11AEF" w:rsidRDefault="00C04D28" w:rsidP="00027B7E">
            <w:pPr>
              <w:spacing w:line="240" w:lineRule="auto"/>
              <w:rPr>
                <w:rFonts w:ascii="Times New Roman" w:eastAsia="Times New Roman" w:hAnsi="Times New Roman" w:cs="Times New Roman"/>
                <w:sz w:val="20"/>
                <w:szCs w:val="20"/>
              </w:rPr>
            </w:pPr>
            <w:r w:rsidRPr="00B11AEF">
              <w:rPr>
                <w:rFonts w:ascii="Times New Roman" w:eastAsia="Times New Roman" w:hAnsi="Times New Roman" w:cs="Times New Roman"/>
                <w:sz w:val="20"/>
                <w:szCs w:val="20"/>
              </w:rPr>
              <w:t>30% increase in the percent of student engage</w:t>
            </w:r>
            <w:r w:rsidR="00B11AEF">
              <w:rPr>
                <w:rFonts w:ascii="Times New Roman" w:eastAsia="Times New Roman" w:hAnsi="Times New Roman" w:cs="Times New Roman"/>
                <w:sz w:val="20"/>
                <w:szCs w:val="20"/>
              </w:rPr>
              <w:t>-</w:t>
            </w:r>
            <w:proofErr w:type="spellStart"/>
            <w:r w:rsidRPr="00B11AEF">
              <w:rPr>
                <w:rFonts w:ascii="Times New Roman" w:eastAsia="Times New Roman" w:hAnsi="Times New Roman" w:cs="Times New Roman"/>
                <w:sz w:val="20"/>
                <w:szCs w:val="20"/>
              </w:rPr>
              <w:t>ment</w:t>
            </w:r>
            <w:proofErr w:type="spellEnd"/>
            <w:r w:rsidRPr="00B11AEF">
              <w:rPr>
                <w:rFonts w:ascii="Times New Roman" w:eastAsia="Times New Roman" w:hAnsi="Times New Roman" w:cs="Times New Roman"/>
                <w:sz w:val="20"/>
                <w:szCs w:val="20"/>
              </w:rPr>
              <w:t xml:space="preserve"> averaged weekly</w:t>
            </w:r>
          </w:p>
        </w:tc>
        <w:tc>
          <w:tcPr>
            <w:tcW w:w="964" w:type="dxa"/>
            <w:shd w:val="clear" w:color="auto" w:fill="FFFFFF" w:themeFill="background1"/>
          </w:tcPr>
          <w:p w14:paraId="5A4EBFC3" w14:textId="2FF3A825" w:rsidR="00C04D28" w:rsidRPr="00B11AEF" w:rsidRDefault="00C04D28" w:rsidP="00027B7E">
            <w:pPr>
              <w:spacing w:line="240" w:lineRule="auto"/>
              <w:rPr>
                <w:rFonts w:ascii="Times New Roman" w:eastAsia="Times New Roman" w:hAnsi="Times New Roman" w:cs="Times New Roman"/>
                <w:sz w:val="20"/>
                <w:szCs w:val="20"/>
              </w:rPr>
            </w:pPr>
            <w:r w:rsidRPr="00B11AEF">
              <w:rPr>
                <w:rFonts w:ascii="Times New Roman" w:eastAsia="Times New Roman" w:hAnsi="Times New Roman" w:cs="Times New Roman"/>
                <w:sz w:val="20"/>
                <w:szCs w:val="20"/>
              </w:rPr>
              <w:t>45% increase in the percent of student engage</w:t>
            </w:r>
            <w:r w:rsidR="00B11AEF">
              <w:rPr>
                <w:rFonts w:ascii="Times New Roman" w:eastAsia="Times New Roman" w:hAnsi="Times New Roman" w:cs="Times New Roman"/>
                <w:sz w:val="20"/>
                <w:szCs w:val="20"/>
              </w:rPr>
              <w:t>-</w:t>
            </w:r>
            <w:proofErr w:type="spellStart"/>
            <w:r w:rsidRPr="00B11AEF">
              <w:rPr>
                <w:rFonts w:ascii="Times New Roman" w:eastAsia="Times New Roman" w:hAnsi="Times New Roman" w:cs="Times New Roman"/>
                <w:sz w:val="20"/>
                <w:szCs w:val="20"/>
              </w:rPr>
              <w:t>ment</w:t>
            </w:r>
            <w:proofErr w:type="spellEnd"/>
            <w:r w:rsidRPr="00B11AEF">
              <w:rPr>
                <w:rFonts w:ascii="Times New Roman" w:eastAsia="Times New Roman" w:hAnsi="Times New Roman" w:cs="Times New Roman"/>
                <w:sz w:val="20"/>
                <w:szCs w:val="20"/>
              </w:rPr>
              <w:t xml:space="preserve"> averaged weekly</w:t>
            </w:r>
          </w:p>
        </w:tc>
        <w:tc>
          <w:tcPr>
            <w:tcW w:w="964" w:type="dxa"/>
            <w:shd w:val="clear" w:color="auto" w:fill="FFFFFF" w:themeFill="background1"/>
          </w:tcPr>
          <w:p w14:paraId="1A1F7E60" w14:textId="31865A06" w:rsidR="00C04D28" w:rsidRPr="00B11AEF" w:rsidRDefault="00C04D28" w:rsidP="00027B7E">
            <w:pPr>
              <w:spacing w:line="240" w:lineRule="auto"/>
              <w:rPr>
                <w:rFonts w:ascii="Times New Roman" w:eastAsia="Times New Roman" w:hAnsi="Times New Roman" w:cs="Times New Roman"/>
                <w:sz w:val="20"/>
                <w:szCs w:val="20"/>
              </w:rPr>
            </w:pPr>
            <w:r w:rsidRPr="00B11AEF">
              <w:rPr>
                <w:rFonts w:ascii="Times New Roman" w:eastAsia="Times New Roman" w:hAnsi="Times New Roman" w:cs="Times New Roman"/>
                <w:sz w:val="20"/>
                <w:szCs w:val="20"/>
              </w:rPr>
              <w:t>60% increase in the percent of student engage</w:t>
            </w:r>
            <w:r w:rsidR="00B11AEF">
              <w:rPr>
                <w:rFonts w:ascii="Times New Roman" w:eastAsia="Times New Roman" w:hAnsi="Times New Roman" w:cs="Times New Roman"/>
                <w:sz w:val="20"/>
                <w:szCs w:val="20"/>
              </w:rPr>
              <w:t>-</w:t>
            </w:r>
            <w:proofErr w:type="spellStart"/>
            <w:r w:rsidRPr="00B11AEF">
              <w:rPr>
                <w:rFonts w:ascii="Times New Roman" w:eastAsia="Times New Roman" w:hAnsi="Times New Roman" w:cs="Times New Roman"/>
                <w:sz w:val="20"/>
                <w:szCs w:val="20"/>
              </w:rPr>
              <w:t>ment</w:t>
            </w:r>
            <w:proofErr w:type="spellEnd"/>
            <w:r w:rsidRPr="00B11AEF">
              <w:rPr>
                <w:rFonts w:ascii="Times New Roman" w:eastAsia="Times New Roman" w:hAnsi="Times New Roman" w:cs="Times New Roman"/>
                <w:sz w:val="20"/>
                <w:szCs w:val="20"/>
              </w:rPr>
              <w:t xml:space="preserve"> averaged weekly</w:t>
            </w:r>
          </w:p>
        </w:tc>
        <w:tc>
          <w:tcPr>
            <w:tcW w:w="964" w:type="dxa"/>
            <w:shd w:val="clear" w:color="auto" w:fill="FFFFFF" w:themeFill="background1"/>
          </w:tcPr>
          <w:p w14:paraId="453FD6E2" w14:textId="0A387612" w:rsidR="00C04D28" w:rsidRPr="00B11AEF" w:rsidRDefault="00C04D28" w:rsidP="00027B7E">
            <w:pPr>
              <w:spacing w:line="240" w:lineRule="auto"/>
              <w:rPr>
                <w:rFonts w:ascii="Times New Roman" w:eastAsia="Times New Roman" w:hAnsi="Times New Roman" w:cs="Times New Roman"/>
                <w:sz w:val="20"/>
                <w:szCs w:val="20"/>
              </w:rPr>
            </w:pPr>
            <w:r w:rsidRPr="00B11AEF">
              <w:rPr>
                <w:rFonts w:ascii="Times New Roman" w:eastAsia="Times New Roman" w:hAnsi="Times New Roman" w:cs="Times New Roman"/>
                <w:sz w:val="20"/>
                <w:szCs w:val="20"/>
              </w:rPr>
              <w:t>No increase in the percent of student engage</w:t>
            </w:r>
            <w:r w:rsidR="00B11AEF">
              <w:rPr>
                <w:rFonts w:ascii="Times New Roman" w:eastAsia="Times New Roman" w:hAnsi="Times New Roman" w:cs="Times New Roman"/>
                <w:sz w:val="20"/>
                <w:szCs w:val="20"/>
              </w:rPr>
              <w:t>-</w:t>
            </w:r>
            <w:proofErr w:type="spellStart"/>
            <w:r w:rsidRPr="00B11AEF">
              <w:rPr>
                <w:rFonts w:ascii="Times New Roman" w:eastAsia="Times New Roman" w:hAnsi="Times New Roman" w:cs="Times New Roman"/>
                <w:sz w:val="20"/>
                <w:szCs w:val="20"/>
              </w:rPr>
              <w:t>ment</w:t>
            </w:r>
            <w:proofErr w:type="spellEnd"/>
            <w:r w:rsidRPr="00B11AEF">
              <w:rPr>
                <w:rFonts w:ascii="Times New Roman" w:eastAsia="Times New Roman" w:hAnsi="Times New Roman" w:cs="Times New Roman"/>
                <w:sz w:val="20"/>
                <w:szCs w:val="20"/>
              </w:rPr>
              <w:t xml:space="preserve"> averaged weekly</w:t>
            </w:r>
          </w:p>
        </w:tc>
        <w:tc>
          <w:tcPr>
            <w:tcW w:w="964" w:type="dxa"/>
            <w:shd w:val="clear" w:color="auto" w:fill="FFFFFF" w:themeFill="background1"/>
          </w:tcPr>
          <w:p w14:paraId="3D2363CF" w14:textId="33163481" w:rsidR="00C04D28" w:rsidRPr="00B11AEF" w:rsidRDefault="00C04D28" w:rsidP="00027B7E">
            <w:pPr>
              <w:spacing w:line="240" w:lineRule="auto"/>
              <w:rPr>
                <w:rFonts w:ascii="Times New Roman" w:eastAsia="Times New Roman" w:hAnsi="Times New Roman" w:cs="Times New Roman"/>
                <w:sz w:val="20"/>
                <w:szCs w:val="20"/>
              </w:rPr>
            </w:pPr>
            <w:r w:rsidRPr="00B11AEF">
              <w:rPr>
                <w:rFonts w:ascii="Times New Roman" w:eastAsia="Times New Roman" w:hAnsi="Times New Roman" w:cs="Times New Roman"/>
                <w:sz w:val="20"/>
                <w:szCs w:val="20"/>
              </w:rPr>
              <w:t>15% increase in the percent of student engage</w:t>
            </w:r>
            <w:r w:rsidR="00B11AEF">
              <w:rPr>
                <w:rFonts w:ascii="Times New Roman" w:eastAsia="Times New Roman" w:hAnsi="Times New Roman" w:cs="Times New Roman"/>
                <w:sz w:val="20"/>
                <w:szCs w:val="20"/>
              </w:rPr>
              <w:t>-</w:t>
            </w:r>
            <w:proofErr w:type="spellStart"/>
            <w:r w:rsidRPr="00B11AEF">
              <w:rPr>
                <w:rFonts w:ascii="Times New Roman" w:eastAsia="Times New Roman" w:hAnsi="Times New Roman" w:cs="Times New Roman"/>
                <w:sz w:val="20"/>
                <w:szCs w:val="20"/>
              </w:rPr>
              <w:t>ment</w:t>
            </w:r>
            <w:proofErr w:type="spellEnd"/>
            <w:r w:rsidRPr="00B11AEF">
              <w:rPr>
                <w:rFonts w:ascii="Times New Roman" w:eastAsia="Times New Roman" w:hAnsi="Times New Roman" w:cs="Times New Roman"/>
                <w:sz w:val="20"/>
                <w:szCs w:val="20"/>
              </w:rPr>
              <w:t xml:space="preserve"> averaged weekly</w:t>
            </w:r>
          </w:p>
        </w:tc>
        <w:tc>
          <w:tcPr>
            <w:tcW w:w="964" w:type="dxa"/>
            <w:shd w:val="clear" w:color="auto" w:fill="FFFFFF" w:themeFill="background1"/>
          </w:tcPr>
          <w:p w14:paraId="11B8CF86" w14:textId="75E919E4" w:rsidR="00C04D28" w:rsidRPr="00B11AEF" w:rsidRDefault="00C04D28" w:rsidP="00027B7E">
            <w:pPr>
              <w:spacing w:line="240" w:lineRule="auto"/>
              <w:rPr>
                <w:rFonts w:ascii="Times New Roman" w:eastAsia="Times New Roman" w:hAnsi="Times New Roman" w:cs="Times New Roman"/>
                <w:sz w:val="20"/>
                <w:szCs w:val="20"/>
              </w:rPr>
            </w:pPr>
            <w:r w:rsidRPr="00B11AEF">
              <w:rPr>
                <w:rFonts w:ascii="Times New Roman" w:eastAsia="Times New Roman" w:hAnsi="Times New Roman" w:cs="Times New Roman"/>
                <w:sz w:val="20"/>
                <w:szCs w:val="20"/>
              </w:rPr>
              <w:t>30% increase in the percent of student engage</w:t>
            </w:r>
            <w:r w:rsidR="00B11AEF">
              <w:rPr>
                <w:rFonts w:ascii="Times New Roman" w:eastAsia="Times New Roman" w:hAnsi="Times New Roman" w:cs="Times New Roman"/>
                <w:sz w:val="20"/>
                <w:szCs w:val="20"/>
              </w:rPr>
              <w:t>-</w:t>
            </w:r>
            <w:proofErr w:type="spellStart"/>
            <w:r w:rsidRPr="00B11AEF">
              <w:rPr>
                <w:rFonts w:ascii="Times New Roman" w:eastAsia="Times New Roman" w:hAnsi="Times New Roman" w:cs="Times New Roman"/>
                <w:sz w:val="20"/>
                <w:szCs w:val="20"/>
              </w:rPr>
              <w:t>ment</w:t>
            </w:r>
            <w:proofErr w:type="spellEnd"/>
            <w:r w:rsidRPr="00B11AEF">
              <w:rPr>
                <w:rFonts w:ascii="Times New Roman" w:eastAsia="Times New Roman" w:hAnsi="Times New Roman" w:cs="Times New Roman"/>
                <w:sz w:val="20"/>
                <w:szCs w:val="20"/>
              </w:rPr>
              <w:t xml:space="preserve"> averaged weekly</w:t>
            </w:r>
          </w:p>
        </w:tc>
        <w:tc>
          <w:tcPr>
            <w:tcW w:w="964" w:type="dxa"/>
            <w:shd w:val="clear" w:color="auto" w:fill="FFFFFF" w:themeFill="background1"/>
          </w:tcPr>
          <w:p w14:paraId="79FDFA8E" w14:textId="0A9348A7" w:rsidR="00C04D28" w:rsidRPr="00B11AEF" w:rsidRDefault="00C04D28" w:rsidP="00027B7E">
            <w:pPr>
              <w:spacing w:line="240" w:lineRule="auto"/>
              <w:rPr>
                <w:rFonts w:ascii="Times New Roman" w:eastAsia="Times New Roman" w:hAnsi="Times New Roman" w:cs="Times New Roman"/>
                <w:sz w:val="20"/>
                <w:szCs w:val="20"/>
              </w:rPr>
            </w:pPr>
            <w:r w:rsidRPr="00B11AEF">
              <w:rPr>
                <w:rFonts w:ascii="Times New Roman" w:eastAsia="Times New Roman" w:hAnsi="Times New Roman" w:cs="Times New Roman"/>
                <w:sz w:val="20"/>
                <w:szCs w:val="20"/>
              </w:rPr>
              <w:t>45% increase in the percent of student engage</w:t>
            </w:r>
            <w:r w:rsidR="00B11AEF">
              <w:rPr>
                <w:rFonts w:ascii="Times New Roman" w:eastAsia="Times New Roman" w:hAnsi="Times New Roman" w:cs="Times New Roman"/>
                <w:sz w:val="20"/>
                <w:szCs w:val="20"/>
              </w:rPr>
              <w:t>-</w:t>
            </w:r>
            <w:proofErr w:type="spellStart"/>
            <w:r w:rsidRPr="00B11AEF">
              <w:rPr>
                <w:rFonts w:ascii="Times New Roman" w:eastAsia="Times New Roman" w:hAnsi="Times New Roman" w:cs="Times New Roman"/>
                <w:sz w:val="20"/>
                <w:szCs w:val="20"/>
              </w:rPr>
              <w:t>ment</w:t>
            </w:r>
            <w:proofErr w:type="spellEnd"/>
            <w:r w:rsidRPr="00B11AEF">
              <w:rPr>
                <w:rFonts w:ascii="Times New Roman" w:eastAsia="Times New Roman" w:hAnsi="Times New Roman" w:cs="Times New Roman"/>
                <w:sz w:val="20"/>
                <w:szCs w:val="20"/>
              </w:rPr>
              <w:t xml:space="preserve"> averaged weekly</w:t>
            </w:r>
          </w:p>
        </w:tc>
        <w:tc>
          <w:tcPr>
            <w:tcW w:w="964" w:type="dxa"/>
            <w:shd w:val="clear" w:color="auto" w:fill="FFFFFF" w:themeFill="background1"/>
          </w:tcPr>
          <w:p w14:paraId="1F82003D" w14:textId="4F56D5B4" w:rsidR="00C04D28" w:rsidRPr="00B11AEF" w:rsidRDefault="00C04D28" w:rsidP="00027B7E">
            <w:pPr>
              <w:spacing w:line="240" w:lineRule="auto"/>
              <w:rPr>
                <w:rFonts w:ascii="Times New Roman" w:eastAsia="Times New Roman" w:hAnsi="Times New Roman" w:cs="Times New Roman"/>
                <w:sz w:val="20"/>
                <w:szCs w:val="20"/>
              </w:rPr>
            </w:pPr>
            <w:r w:rsidRPr="00B11AEF">
              <w:rPr>
                <w:rFonts w:ascii="Times New Roman" w:eastAsia="Times New Roman" w:hAnsi="Times New Roman" w:cs="Times New Roman"/>
                <w:sz w:val="20"/>
                <w:szCs w:val="20"/>
              </w:rPr>
              <w:t>60% increase in the percent of student engage</w:t>
            </w:r>
            <w:r w:rsidR="00B11AEF">
              <w:rPr>
                <w:rFonts w:ascii="Times New Roman" w:eastAsia="Times New Roman" w:hAnsi="Times New Roman" w:cs="Times New Roman"/>
                <w:sz w:val="20"/>
                <w:szCs w:val="20"/>
              </w:rPr>
              <w:t>-</w:t>
            </w:r>
            <w:proofErr w:type="spellStart"/>
            <w:r w:rsidRPr="00B11AEF">
              <w:rPr>
                <w:rFonts w:ascii="Times New Roman" w:eastAsia="Times New Roman" w:hAnsi="Times New Roman" w:cs="Times New Roman"/>
                <w:sz w:val="20"/>
                <w:szCs w:val="20"/>
              </w:rPr>
              <w:t>ment</w:t>
            </w:r>
            <w:proofErr w:type="spellEnd"/>
            <w:r w:rsidRPr="00B11AEF">
              <w:rPr>
                <w:rFonts w:ascii="Times New Roman" w:eastAsia="Times New Roman" w:hAnsi="Times New Roman" w:cs="Times New Roman"/>
                <w:sz w:val="20"/>
                <w:szCs w:val="20"/>
              </w:rPr>
              <w:t xml:space="preserve"> averaged weekly</w:t>
            </w:r>
          </w:p>
        </w:tc>
      </w:tr>
      <w:tr w:rsidR="00C04D28" w14:paraId="09172959" w14:textId="77777777" w:rsidTr="00027B7E">
        <w:trPr>
          <w:trHeight w:val="240"/>
        </w:trPr>
        <w:tc>
          <w:tcPr>
            <w:tcW w:w="964" w:type="dxa"/>
            <w:shd w:val="clear" w:color="auto" w:fill="FFFFFF" w:themeFill="background1"/>
          </w:tcPr>
          <w:p w14:paraId="6BEFE1C2" w14:textId="77777777" w:rsidR="00C04D28" w:rsidRDefault="00C04D28" w:rsidP="00027B7E">
            <w:pPr>
              <w:spacing w:line="240" w:lineRule="auto"/>
              <w:jc w:val="center"/>
              <w:rPr>
                <w:rFonts w:ascii="Times New Roman" w:eastAsia="Times New Roman" w:hAnsi="Times New Roman" w:cs="Times New Roman"/>
                <w:b/>
                <w:color w:val="0F243E"/>
                <w:sz w:val="24"/>
                <w:szCs w:val="24"/>
              </w:rPr>
            </w:pPr>
            <w:r>
              <w:rPr>
                <w:rFonts w:ascii="Times New Roman" w:eastAsia="Times New Roman" w:hAnsi="Times New Roman" w:cs="Times New Roman"/>
                <w:b/>
                <w:color w:val="0F243E"/>
                <w:sz w:val="24"/>
                <w:szCs w:val="24"/>
              </w:rPr>
              <w:t>Check Here</w:t>
            </w:r>
          </w:p>
          <w:p w14:paraId="6CB4B766" w14:textId="77777777" w:rsidR="00C04D28" w:rsidRDefault="00C04D28" w:rsidP="00027B7E">
            <w:pPr>
              <w:spacing w:line="240" w:lineRule="auto"/>
              <w:jc w:val="center"/>
              <w:rPr>
                <w:rFonts w:ascii="Times New Roman" w:eastAsia="Times New Roman" w:hAnsi="Times New Roman" w:cs="Times New Roman"/>
                <w:b/>
                <w:color w:val="0F243E"/>
                <w:sz w:val="24"/>
                <w:szCs w:val="24"/>
              </w:rPr>
            </w:pPr>
            <w:r>
              <w:rPr>
                <w:rFonts w:ascii="Times New Roman" w:eastAsia="Times New Roman" w:hAnsi="Times New Roman" w:cs="Times New Roman"/>
                <w:b/>
                <w:color w:val="0F243E"/>
                <w:sz w:val="24"/>
                <w:szCs w:val="24"/>
              </w:rPr>
              <w:t>☐</w:t>
            </w:r>
          </w:p>
        </w:tc>
        <w:tc>
          <w:tcPr>
            <w:tcW w:w="964" w:type="dxa"/>
            <w:shd w:val="clear" w:color="auto" w:fill="FFFFFF" w:themeFill="background1"/>
          </w:tcPr>
          <w:p w14:paraId="6BECC1DB" w14:textId="77777777" w:rsidR="00C04D28" w:rsidRDefault="00C04D28" w:rsidP="00027B7E">
            <w:pPr>
              <w:spacing w:line="240" w:lineRule="auto"/>
              <w:jc w:val="center"/>
              <w:rPr>
                <w:rFonts w:ascii="Times New Roman" w:eastAsia="Times New Roman" w:hAnsi="Times New Roman" w:cs="Times New Roman"/>
                <w:b/>
                <w:color w:val="0F243E"/>
                <w:sz w:val="24"/>
                <w:szCs w:val="24"/>
              </w:rPr>
            </w:pPr>
            <w:r>
              <w:rPr>
                <w:rFonts w:ascii="Times New Roman" w:eastAsia="Times New Roman" w:hAnsi="Times New Roman" w:cs="Times New Roman"/>
                <w:b/>
                <w:color w:val="0F243E"/>
                <w:sz w:val="24"/>
                <w:szCs w:val="24"/>
              </w:rPr>
              <w:t>Check Here</w:t>
            </w:r>
          </w:p>
          <w:p w14:paraId="74D5EDDC" w14:textId="77777777" w:rsidR="00C04D28" w:rsidRDefault="00C04D28" w:rsidP="00027B7E">
            <w:pPr>
              <w:spacing w:line="240" w:lineRule="auto"/>
              <w:jc w:val="center"/>
              <w:rPr>
                <w:rFonts w:ascii="Times New Roman" w:eastAsia="Times New Roman" w:hAnsi="Times New Roman" w:cs="Times New Roman"/>
                <w:b/>
                <w:color w:val="0F243E"/>
                <w:sz w:val="24"/>
                <w:szCs w:val="24"/>
              </w:rPr>
            </w:pPr>
            <w:r>
              <w:rPr>
                <w:rFonts w:ascii="Times New Roman" w:eastAsia="Times New Roman" w:hAnsi="Times New Roman" w:cs="Times New Roman"/>
                <w:b/>
                <w:color w:val="0F243E"/>
                <w:sz w:val="24"/>
                <w:szCs w:val="24"/>
              </w:rPr>
              <w:t>☐</w:t>
            </w:r>
          </w:p>
        </w:tc>
        <w:tc>
          <w:tcPr>
            <w:tcW w:w="964" w:type="dxa"/>
            <w:shd w:val="clear" w:color="auto" w:fill="FFFFFF" w:themeFill="background1"/>
          </w:tcPr>
          <w:p w14:paraId="4E130223" w14:textId="77777777" w:rsidR="00C04D28" w:rsidRDefault="00C04D28" w:rsidP="00027B7E">
            <w:pPr>
              <w:spacing w:line="240" w:lineRule="auto"/>
              <w:jc w:val="center"/>
              <w:rPr>
                <w:rFonts w:ascii="Times New Roman" w:eastAsia="Times New Roman" w:hAnsi="Times New Roman" w:cs="Times New Roman"/>
                <w:b/>
                <w:color w:val="0F243E"/>
                <w:sz w:val="24"/>
                <w:szCs w:val="24"/>
              </w:rPr>
            </w:pPr>
            <w:r>
              <w:rPr>
                <w:rFonts w:ascii="Times New Roman" w:eastAsia="Times New Roman" w:hAnsi="Times New Roman" w:cs="Times New Roman"/>
                <w:b/>
                <w:color w:val="0F243E"/>
                <w:sz w:val="24"/>
                <w:szCs w:val="24"/>
              </w:rPr>
              <w:t>Check Here</w:t>
            </w:r>
          </w:p>
          <w:p w14:paraId="4A45E43D" w14:textId="77777777" w:rsidR="00C04D28" w:rsidRDefault="00C04D28" w:rsidP="00027B7E">
            <w:pPr>
              <w:spacing w:line="240" w:lineRule="auto"/>
              <w:jc w:val="center"/>
              <w:rPr>
                <w:rFonts w:ascii="Times New Roman" w:eastAsia="Times New Roman" w:hAnsi="Times New Roman" w:cs="Times New Roman"/>
                <w:b/>
                <w:color w:val="0F243E"/>
                <w:sz w:val="24"/>
                <w:szCs w:val="24"/>
              </w:rPr>
            </w:pPr>
            <w:r>
              <w:rPr>
                <w:rFonts w:ascii="Times New Roman" w:eastAsia="Times New Roman" w:hAnsi="Times New Roman" w:cs="Times New Roman"/>
                <w:b/>
                <w:color w:val="0F243E"/>
                <w:sz w:val="24"/>
                <w:szCs w:val="24"/>
              </w:rPr>
              <w:t>☐</w:t>
            </w:r>
          </w:p>
        </w:tc>
        <w:tc>
          <w:tcPr>
            <w:tcW w:w="964" w:type="dxa"/>
            <w:shd w:val="clear" w:color="auto" w:fill="FFFFFF" w:themeFill="background1"/>
          </w:tcPr>
          <w:p w14:paraId="7651C4BC" w14:textId="77777777" w:rsidR="00C04D28" w:rsidRDefault="00C04D28" w:rsidP="00027B7E">
            <w:pPr>
              <w:spacing w:line="240" w:lineRule="auto"/>
              <w:jc w:val="center"/>
              <w:rPr>
                <w:rFonts w:ascii="Times New Roman" w:eastAsia="Times New Roman" w:hAnsi="Times New Roman" w:cs="Times New Roman"/>
                <w:b/>
                <w:color w:val="0F243E"/>
                <w:sz w:val="24"/>
                <w:szCs w:val="24"/>
              </w:rPr>
            </w:pPr>
            <w:r>
              <w:rPr>
                <w:rFonts w:ascii="Times New Roman" w:eastAsia="Times New Roman" w:hAnsi="Times New Roman" w:cs="Times New Roman"/>
                <w:b/>
                <w:color w:val="0F243E"/>
                <w:sz w:val="24"/>
                <w:szCs w:val="24"/>
              </w:rPr>
              <w:t>Check Here</w:t>
            </w:r>
          </w:p>
          <w:p w14:paraId="39F55290" w14:textId="77777777" w:rsidR="00C04D28" w:rsidRDefault="00C04D28" w:rsidP="00027B7E">
            <w:pPr>
              <w:spacing w:line="240" w:lineRule="auto"/>
              <w:jc w:val="center"/>
              <w:rPr>
                <w:rFonts w:ascii="Times New Roman" w:eastAsia="Times New Roman" w:hAnsi="Times New Roman" w:cs="Times New Roman"/>
                <w:b/>
                <w:color w:val="0F243E"/>
                <w:sz w:val="24"/>
                <w:szCs w:val="24"/>
              </w:rPr>
            </w:pPr>
            <w:r>
              <w:rPr>
                <w:rFonts w:ascii="Times New Roman" w:eastAsia="Times New Roman" w:hAnsi="Times New Roman" w:cs="Times New Roman"/>
                <w:b/>
                <w:color w:val="0F243E"/>
                <w:sz w:val="24"/>
                <w:szCs w:val="24"/>
              </w:rPr>
              <w:t>☐</w:t>
            </w:r>
          </w:p>
        </w:tc>
        <w:tc>
          <w:tcPr>
            <w:tcW w:w="964" w:type="dxa"/>
            <w:shd w:val="clear" w:color="auto" w:fill="FFFFFF" w:themeFill="background1"/>
          </w:tcPr>
          <w:p w14:paraId="136D384E" w14:textId="77777777" w:rsidR="00C04D28" w:rsidRDefault="00C04D28" w:rsidP="00027B7E">
            <w:pPr>
              <w:spacing w:line="240" w:lineRule="auto"/>
              <w:jc w:val="center"/>
              <w:rPr>
                <w:rFonts w:ascii="Times New Roman" w:eastAsia="Times New Roman" w:hAnsi="Times New Roman" w:cs="Times New Roman"/>
                <w:b/>
                <w:color w:val="0F243E"/>
                <w:sz w:val="24"/>
                <w:szCs w:val="24"/>
              </w:rPr>
            </w:pPr>
            <w:r>
              <w:rPr>
                <w:rFonts w:ascii="Times New Roman" w:eastAsia="Times New Roman" w:hAnsi="Times New Roman" w:cs="Times New Roman"/>
                <w:b/>
                <w:color w:val="0F243E"/>
                <w:sz w:val="24"/>
                <w:szCs w:val="24"/>
              </w:rPr>
              <w:t>Check Here</w:t>
            </w:r>
          </w:p>
          <w:p w14:paraId="6015C194" w14:textId="77777777" w:rsidR="00C04D28" w:rsidRDefault="00C04D28" w:rsidP="00027B7E">
            <w:pPr>
              <w:spacing w:line="240" w:lineRule="auto"/>
              <w:jc w:val="center"/>
              <w:rPr>
                <w:rFonts w:ascii="Times New Roman" w:eastAsia="Times New Roman" w:hAnsi="Times New Roman" w:cs="Times New Roman"/>
                <w:b/>
                <w:color w:val="0F243E"/>
                <w:sz w:val="24"/>
                <w:szCs w:val="24"/>
              </w:rPr>
            </w:pPr>
            <w:r>
              <w:rPr>
                <w:rFonts w:ascii="Times New Roman" w:eastAsia="Times New Roman" w:hAnsi="Times New Roman" w:cs="Times New Roman"/>
                <w:b/>
                <w:color w:val="0F243E"/>
                <w:sz w:val="24"/>
                <w:szCs w:val="24"/>
              </w:rPr>
              <w:t>☐</w:t>
            </w:r>
          </w:p>
        </w:tc>
        <w:tc>
          <w:tcPr>
            <w:tcW w:w="964" w:type="dxa"/>
            <w:shd w:val="clear" w:color="auto" w:fill="FFFFFF" w:themeFill="background1"/>
          </w:tcPr>
          <w:p w14:paraId="3DB04247" w14:textId="77777777" w:rsidR="00C04D28" w:rsidRDefault="00C04D28" w:rsidP="00027B7E">
            <w:pPr>
              <w:spacing w:line="240" w:lineRule="auto"/>
              <w:jc w:val="center"/>
              <w:rPr>
                <w:rFonts w:ascii="Times New Roman" w:eastAsia="Times New Roman" w:hAnsi="Times New Roman" w:cs="Times New Roman"/>
                <w:b/>
                <w:color w:val="0F243E"/>
                <w:sz w:val="24"/>
                <w:szCs w:val="24"/>
              </w:rPr>
            </w:pPr>
            <w:r>
              <w:rPr>
                <w:rFonts w:ascii="Times New Roman" w:eastAsia="Times New Roman" w:hAnsi="Times New Roman" w:cs="Times New Roman"/>
                <w:b/>
                <w:color w:val="0F243E"/>
                <w:sz w:val="24"/>
                <w:szCs w:val="24"/>
              </w:rPr>
              <w:t>Check Here</w:t>
            </w:r>
          </w:p>
          <w:p w14:paraId="2DEB6CC5" w14:textId="77777777" w:rsidR="00C04D28" w:rsidRDefault="00C04D28" w:rsidP="00027B7E">
            <w:pPr>
              <w:spacing w:line="240" w:lineRule="auto"/>
              <w:jc w:val="center"/>
              <w:rPr>
                <w:rFonts w:ascii="Times New Roman" w:eastAsia="Times New Roman" w:hAnsi="Times New Roman" w:cs="Times New Roman"/>
                <w:b/>
                <w:color w:val="0F243E"/>
                <w:sz w:val="24"/>
                <w:szCs w:val="24"/>
              </w:rPr>
            </w:pPr>
            <w:r>
              <w:rPr>
                <w:rFonts w:ascii="Times New Roman" w:eastAsia="Times New Roman" w:hAnsi="Times New Roman" w:cs="Times New Roman"/>
                <w:b/>
                <w:color w:val="0F243E"/>
                <w:sz w:val="24"/>
                <w:szCs w:val="24"/>
              </w:rPr>
              <w:t>☐</w:t>
            </w:r>
          </w:p>
        </w:tc>
        <w:tc>
          <w:tcPr>
            <w:tcW w:w="964" w:type="dxa"/>
            <w:shd w:val="clear" w:color="auto" w:fill="FFFFFF" w:themeFill="background1"/>
          </w:tcPr>
          <w:p w14:paraId="3BB88647" w14:textId="77777777" w:rsidR="00C04D28" w:rsidRDefault="00C04D28" w:rsidP="00027B7E">
            <w:pPr>
              <w:spacing w:line="240" w:lineRule="auto"/>
              <w:jc w:val="center"/>
              <w:rPr>
                <w:rFonts w:ascii="Times New Roman" w:eastAsia="Times New Roman" w:hAnsi="Times New Roman" w:cs="Times New Roman"/>
                <w:b/>
                <w:color w:val="0F243E"/>
                <w:sz w:val="24"/>
                <w:szCs w:val="24"/>
              </w:rPr>
            </w:pPr>
            <w:r>
              <w:rPr>
                <w:rFonts w:ascii="Times New Roman" w:eastAsia="Times New Roman" w:hAnsi="Times New Roman" w:cs="Times New Roman"/>
                <w:b/>
                <w:color w:val="0F243E"/>
                <w:sz w:val="24"/>
                <w:szCs w:val="24"/>
              </w:rPr>
              <w:t>Check Here</w:t>
            </w:r>
          </w:p>
          <w:p w14:paraId="31041AED" w14:textId="77777777" w:rsidR="00C04D28" w:rsidRDefault="00C04D28" w:rsidP="00027B7E">
            <w:pPr>
              <w:spacing w:line="240" w:lineRule="auto"/>
              <w:jc w:val="center"/>
              <w:rPr>
                <w:rFonts w:ascii="Times New Roman" w:eastAsia="Times New Roman" w:hAnsi="Times New Roman" w:cs="Times New Roman"/>
                <w:b/>
                <w:color w:val="0F243E"/>
                <w:sz w:val="24"/>
                <w:szCs w:val="24"/>
              </w:rPr>
            </w:pPr>
            <w:r>
              <w:rPr>
                <w:rFonts w:ascii="Times New Roman" w:eastAsia="Times New Roman" w:hAnsi="Times New Roman" w:cs="Times New Roman"/>
                <w:b/>
                <w:color w:val="0F243E"/>
                <w:sz w:val="24"/>
                <w:szCs w:val="24"/>
              </w:rPr>
              <w:t>☐</w:t>
            </w:r>
          </w:p>
        </w:tc>
        <w:tc>
          <w:tcPr>
            <w:tcW w:w="964" w:type="dxa"/>
            <w:shd w:val="clear" w:color="auto" w:fill="FFFFFF" w:themeFill="background1"/>
          </w:tcPr>
          <w:p w14:paraId="0589B45E" w14:textId="77777777" w:rsidR="00C04D28" w:rsidRDefault="00C04D28" w:rsidP="00027B7E">
            <w:pPr>
              <w:spacing w:line="240" w:lineRule="auto"/>
              <w:jc w:val="center"/>
              <w:rPr>
                <w:rFonts w:ascii="Times New Roman" w:eastAsia="Times New Roman" w:hAnsi="Times New Roman" w:cs="Times New Roman"/>
                <w:b/>
                <w:color w:val="0F243E"/>
                <w:sz w:val="24"/>
                <w:szCs w:val="24"/>
              </w:rPr>
            </w:pPr>
            <w:r>
              <w:rPr>
                <w:rFonts w:ascii="Times New Roman" w:eastAsia="Times New Roman" w:hAnsi="Times New Roman" w:cs="Times New Roman"/>
                <w:b/>
                <w:color w:val="0F243E"/>
                <w:sz w:val="24"/>
                <w:szCs w:val="24"/>
              </w:rPr>
              <w:t>Check Here</w:t>
            </w:r>
          </w:p>
          <w:p w14:paraId="0ED92B74" w14:textId="77777777" w:rsidR="00C04D28" w:rsidRDefault="00C04D28" w:rsidP="00027B7E">
            <w:pPr>
              <w:spacing w:line="240" w:lineRule="auto"/>
              <w:jc w:val="center"/>
              <w:rPr>
                <w:rFonts w:ascii="Times New Roman" w:eastAsia="Times New Roman" w:hAnsi="Times New Roman" w:cs="Times New Roman"/>
                <w:b/>
                <w:color w:val="0F243E"/>
                <w:sz w:val="24"/>
                <w:szCs w:val="24"/>
              </w:rPr>
            </w:pPr>
            <w:r>
              <w:rPr>
                <w:rFonts w:ascii="Times New Roman" w:eastAsia="Times New Roman" w:hAnsi="Times New Roman" w:cs="Times New Roman"/>
                <w:b/>
                <w:color w:val="0F243E"/>
                <w:sz w:val="24"/>
                <w:szCs w:val="24"/>
              </w:rPr>
              <w:t>☐</w:t>
            </w:r>
          </w:p>
        </w:tc>
        <w:tc>
          <w:tcPr>
            <w:tcW w:w="964" w:type="dxa"/>
            <w:shd w:val="clear" w:color="auto" w:fill="FFFFFF" w:themeFill="background1"/>
          </w:tcPr>
          <w:p w14:paraId="3C64C88C" w14:textId="77777777" w:rsidR="00C04D28" w:rsidRDefault="00C04D28" w:rsidP="00027B7E">
            <w:pPr>
              <w:spacing w:line="240" w:lineRule="auto"/>
              <w:jc w:val="center"/>
              <w:rPr>
                <w:rFonts w:ascii="Times New Roman" w:eastAsia="Times New Roman" w:hAnsi="Times New Roman" w:cs="Times New Roman"/>
                <w:b/>
                <w:color w:val="0F243E"/>
                <w:sz w:val="24"/>
                <w:szCs w:val="24"/>
              </w:rPr>
            </w:pPr>
            <w:r>
              <w:rPr>
                <w:rFonts w:ascii="Times New Roman" w:eastAsia="Times New Roman" w:hAnsi="Times New Roman" w:cs="Times New Roman"/>
                <w:b/>
                <w:color w:val="0F243E"/>
                <w:sz w:val="24"/>
                <w:szCs w:val="24"/>
              </w:rPr>
              <w:t>Check Here</w:t>
            </w:r>
          </w:p>
          <w:p w14:paraId="016E80AC" w14:textId="77777777" w:rsidR="00C04D28" w:rsidRDefault="00C04D28" w:rsidP="00027B7E">
            <w:pPr>
              <w:spacing w:line="240" w:lineRule="auto"/>
              <w:jc w:val="center"/>
              <w:rPr>
                <w:rFonts w:ascii="Times New Roman" w:eastAsia="Times New Roman" w:hAnsi="Times New Roman" w:cs="Times New Roman"/>
                <w:b/>
                <w:color w:val="0F243E"/>
                <w:sz w:val="24"/>
                <w:szCs w:val="24"/>
              </w:rPr>
            </w:pPr>
            <w:r>
              <w:rPr>
                <w:rFonts w:ascii="Times New Roman" w:eastAsia="Times New Roman" w:hAnsi="Times New Roman" w:cs="Times New Roman"/>
                <w:b/>
                <w:color w:val="0F243E"/>
                <w:sz w:val="24"/>
                <w:szCs w:val="24"/>
              </w:rPr>
              <w:t>☐</w:t>
            </w:r>
          </w:p>
        </w:tc>
        <w:tc>
          <w:tcPr>
            <w:tcW w:w="964" w:type="dxa"/>
            <w:shd w:val="clear" w:color="auto" w:fill="FFFFFF" w:themeFill="background1"/>
          </w:tcPr>
          <w:p w14:paraId="074B09D9" w14:textId="77777777" w:rsidR="00C04D28" w:rsidRDefault="00C04D28" w:rsidP="00027B7E">
            <w:pPr>
              <w:spacing w:line="240" w:lineRule="auto"/>
              <w:jc w:val="center"/>
              <w:rPr>
                <w:rFonts w:ascii="Times New Roman" w:eastAsia="Times New Roman" w:hAnsi="Times New Roman" w:cs="Times New Roman"/>
                <w:b/>
                <w:color w:val="0F243E"/>
                <w:sz w:val="24"/>
                <w:szCs w:val="24"/>
              </w:rPr>
            </w:pPr>
            <w:r>
              <w:rPr>
                <w:rFonts w:ascii="Times New Roman" w:eastAsia="Times New Roman" w:hAnsi="Times New Roman" w:cs="Times New Roman"/>
                <w:b/>
                <w:color w:val="0F243E"/>
                <w:sz w:val="24"/>
                <w:szCs w:val="24"/>
              </w:rPr>
              <w:t>Check Here</w:t>
            </w:r>
          </w:p>
          <w:p w14:paraId="64C5889F" w14:textId="77777777" w:rsidR="00C04D28" w:rsidRDefault="00C04D28" w:rsidP="00027B7E">
            <w:pPr>
              <w:spacing w:line="240" w:lineRule="auto"/>
              <w:jc w:val="center"/>
              <w:rPr>
                <w:rFonts w:ascii="Times New Roman" w:eastAsia="Times New Roman" w:hAnsi="Times New Roman" w:cs="Times New Roman"/>
                <w:b/>
                <w:color w:val="0F243E"/>
                <w:sz w:val="24"/>
                <w:szCs w:val="24"/>
              </w:rPr>
            </w:pPr>
            <w:r>
              <w:rPr>
                <w:rFonts w:ascii="Times New Roman" w:eastAsia="Times New Roman" w:hAnsi="Times New Roman" w:cs="Times New Roman"/>
                <w:b/>
                <w:color w:val="0F243E"/>
                <w:sz w:val="24"/>
                <w:szCs w:val="24"/>
              </w:rPr>
              <w:t>☐</w:t>
            </w:r>
          </w:p>
        </w:tc>
      </w:tr>
      <w:tr w:rsidR="00C04D28" w14:paraId="0CD6562F" w14:textId="77777777" w:rsidTr="00027B7E">
        <w:trPr>
          <w:trHeight w:val="1772"/>
        </w:trPr>
        <w:tc>
          <w:tcPr>
            <w:tcW w:w="4820" w:type="dxa"/>
            <w:gridSpan w:val="5"/>
            <w:shd w:val="clear" w:color="auto" w:fill="FFFFFF" w:themeFill="background1"/>
          </w:tcPr>
          <w:p w14:paraId="5899F493" w14:textId="77777777" w:rsidR="00C04D28" w:rsidRDefault="00C04D28" w:rsidP="00027B7E">
            <w:pPr>
              <w:spacing w:line="240" w:lineRule="auto"/>
              <w:rPr>
                <w:rFonts w:ascii="Times New Roman" w:eastAsia="Times New Roman" w:hAnsi="Times New Roman" w:cs="Times New Roman"/>
                <w:b/>
                <w:color w:val="0F243E"/>
                <w:sz w:val="24"/>
                <w:szCs w:val="24"/>
              </w:rPr>
            </w:pPr>
            <w:r>
              <w:rPr>
                <w:rFonts w:ascii="Times New Roman" w:eastAsia="Times New Roman" w:hAnsi="Times New Roman" w:cs="Times New Roman"/>
                <w:b/>
                <w:color w:val="0F243E"/>
                <w:sz w:val="24"/>
                <w:szCs w:val="24"/>
              </w:rPr>
              <w:t>Mid-Year Remarks:</w:t>
            </w:r>
          </w:p>
          <w:p w14:paraId="2548A2EA" w14:textId="77777777" w:rsidR="00C04D28" w:rsidRDefault="00C04D28" w:rsidP="00027B7E">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With a focus on theater basics and mentor-mentee relationship building rather than full-production rehearsal, it would be realistic to expect a -1-attainment level.</w:t>
            </w:r>
          </w:p>
        </w:tc>
        <w:tc>
          <w:tcPr>
            <w:tcW w:w="4820" w:type="dxa"/>
            <w:gridSpan w:val="5"/>
            <w:shd w:val="clear" w:color="auto" w:fill="FFFFFF" w:themeFill="background1"/>
          </w:tcPr>
          <w:p w14:paraId="6E9EB9FB" w14:textId="77777777" w:rsidR="00C04D28" w:rsidRDefault="00C04D28" w:rsidP="00027B7E">
            <w:pPr>
              <w:spacing w:line="240" w:lineRule="auto"/>
              <w:rPr>
                <w:rFonts w:ascii="Times New Roman" w:eastAsia="Times New Roman" w:hAnsi="Times New Roman" w:cs="Times New Roman"/>
                <w:b/>
                <w:color w:val="0F243E"/>
                <w:sz w:val="24"/>
                <w:szCs w:val="24"/>
              </w:rPr>
            </w:pPr>
            <w:r>
              <w:rPr>
                <w:rFonts w:ascii="Times New Roman" w:eastAsia="Times New Roman" w:hAnsi="Times New Roman" w:cs="Times New Roman"/>
                <w:b/>
                <w:color w:val="0F243E"/>
                <w:sz w:val="24"/>
                <w:szCs w:val="24"/>
              </w:rPr>
              <w:t>End-Year Remarks:</w:t>
            </w:r>
          </w:p>
          <w:p w14:paraId="5A51BD41" w14:textId="77777777" w:rsidR="00C04D28" w:rsidRDefault="00C04D28" w:rsidP="00027B7E">
            <w:pPr>
              <w:spacing w:line="240" w:lineRule="auto"/>
              <w:rPr>
                <w:rFonts w:ascii="Times New Roman" w:eastAsia="Times New Roman" w:hAnsi="Times New Roman" w:cs="Times New Roman"/>
                <w:color w:val="0F243E"/>
                <w:sz w:val="24"/>
                <w:szCs w:val="24"/>
              </w:rPr>
            </w:pPr>
            <w:r>
              <w:rPr>
                <w:rFonts w:ascii="Times New Roman" w:eastAsia="Times New Roman" w:hAnsi="Times New Roman" w:cs="Times New Roman"/>
                <w:color w:val="0F243E"/>
                <w:sz w:val="24"/>
                <w:szCs w:val="24"/>
              </w:rPr>
              <w:t>Having spent more time on full-production rehearsals and allowing students to continue building their mentor-mentee relationships, it would be realistic to expect a 0 or 1-attainment level.</w:t>
            </w:r>
          </w:p>
        </w:tc>
      </w:tr>
    </w:tbl>
    <w:p w14:paraId="15B50E50" w14:textId="48841FEE" w:rsidR="00C04D28" w:rsidRPr="00CC7001" w:rsidRDefault="00C04D28" w:rsidP="00C04D28">
      <w:pPr>
        <w:spacing w:line="240" w:lineRule="auto"/>
        <w:jc w:val="center"/>
        <w:rPr>
          <w:rFonts w:ascii="Times New Roman" w:eastAsia="Times New Roman" w:hAnsi="Times New Roman" w:cs="Times New Roman"/>
          <w:b/>
          <w:sz w:val="16"/>
          <w:szCs w:val="16"/>
        </w:rPr>
      </w:pPr>
      <w:r w:rsidRPr="00CC7001">
        <w:rPr>
          <w:rFonts w:ascii="Times New Roman" w:eastAsia="Times New Roman" w:hAnsi="Times New Roman" w:cs="Times New Roman"/>
          <w:i/>
          <w:iCs/>
          <w:sz w:val="16"/>
          <w:szCs w:val="16"/>
        </w:rPr>
        <w:t xml:space="preserve">Note. </w:t>
      </w:r>
      <w:r w:rsidRPr="00CC7001">
        <w:rPr>
          <w:rFonts w:ascii="Times New Roman" w:eastAsia="Times New Roman" w:hAnsi="Times New Roman" w:cs="Times New Roman"/>
          <w:sz w:val="16"/>
          <w:szCs w:val="16"/>
        </w:rPr>
        <w:t xml:space="preserve">0 = expected outcome | 1 = more than expected | 2 = much more than </w:t>
      </w:r>
      <w:r w:rsidR="00CC7001" w:rsidRPr="00CC7001">
        <w:rPr>
          <w:rFonts w:ascii="Times New Roman" w:eastAsia="Times New Roman" w:hAnsi="Times New Roman" w:cs="Times New Roman"/>
          <w:sz w:val="16"/>
          <w:szCs w:val="16"/>
        </w:rPr>
        <w:t>expected | -</w:t>
      </w:r>
      <w:r w:rsidRPr="00CC7001">
        <w:rPr>
          <w:rFonts w:ascii="Times New Roman" w:eastAsia="Times New Roman" w:hAnsi="Times New Roman" w:cs="Times New Roman"/>
          <w:sz w:val="16"/>
          <w:szCs w:val="16"/>
        </w:rPr>
        <w:t xml:space="preserve">1 = less than </w:t>
      </w:r>
      <w:r w:rsidR="00CC7001" w:rsidRPr="00CC7001">
        <w:rPr>
          <w:rFonts w:ascii="Times New Roman" w:eastAsia="Times New Roman" w:hAnsi="Times New Roman" w:cs="Times New Roman"/>
          <w:sz w:val="16"/>
          <w:szCs w:val="16"/>
        </w:rPr>
        <w:t>expected | -</w:t>
      </w:r>
      <w:r w:rsidRPr="00CC7001">
        <w:rPr>
          <w:rFonts w:ascii="Times New Roman" w:eastAsia="Times New Roman" w:hAnsi="Times New Roman" w:cs="Times New Roman"/>
          <w:sz w:val="16"/>
          <w:szCs w:val="16"/>
        </w:rPr>
        <w:t>2 = much less than expected</w:t>
      </w:r>
    </w:p>
    <w:p w14:paraId="53E3D400" w14:textId="77777777" w:rsidR="00CC7001" w:rsidRDefault="00CC7001" w:rsidP="0026599C">
      <w:pPr>
        <w:spacing w:line="480" w:lineRule="auto"/>
        <w:rPr>
          <w:rFonts w:ascii="Times New Roman" w:eastAsia="Times New Roman" w:hAnsi="Times New Roman" w:cs="Times New Roman"/>
          <w:sz w:val="24"/>
          <w:szCs w:val="24"/>
        </w:rPr>
      </w:pPr>
    </w:p>
    <w:p w14:paraId="0651539D" w14:textId="0C745A24" w:rsidR="0026599C" w:rsidRPr="0026599C" w:rsidRDefault="0026599C" w:rsidP="000D15E7">
      <w:pPr>
        <w:spacing w:line="480" w:lineRule="auto"/>
        <w:jc w:val="center"/>
        <w:rPr>
          <w:rFonts w:ascii="Times New Roman" w:eastAsia="Times New Roman" w:hAnsi="Times New Roman" w:cs="Times New Roman"/>
          <w:b/>
          <w:bCs/>
          <w:sz w:val="24"/>
          <w:szCs w:val="24"/>
        </w:rPr>
      </w:pPr>
      <w:r w:rsidRPr="0026599C">
        <w:rPr>
          <w:rFonts w:ascii="Times New Roman" w:eastAsia="Times New Roman" w:hAnsi="Times New Roman" w:cs="Times New Roman"/>
          <w:b/>
          <w:bCs/>
          <w:sz w:val="24"/>
          <w:szCs w:val="24"/>
        </w:rPr>
        <w:t>Conclusion &amp; Implications</w:t>
      </w:r>
    </w:p>
    <w:p w14:paraId="088C4151" w14:textId="051684DD" w:rsidR="0026599C" w:rsidRDefault="0026599C" w:rsidP="0026599C">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The implementation of a peer mentor musical theater program holds immense potential for transforming arts education within Van Buren County. By creating an inclusive environment where students with disabilities can actively participate in performing arts alongside their peers, this initiative fosters confidence and communication, as well as social and academic engagement. If the goal of a 30% increase in engagement is achieved, the program will not only validate the effectiveness of peer mentorship in theater but also set a precedent for inclusive arts education throughout the </w:t>
      </w:r>
      <w:r w:rsidR="00146C12">
        <w:rPr>
          <w:rFonts w:ascii="Times New Roman" w:eastAsia="Times New Roman" w:hAnsi="Times New Roman" w:cs="Times New Roman"/>
          <w:sz w:val="24"/>
          <w:szCs w:val="24"/>
        </w:rPr>
        <w:t>county</w:t>
      </w:r>
      <w:r>
        <w:rPr>
          <w:rFonts w:ascii="Times New Roman" w:eastAsia="Times New Roman" w:hAnsi="Times New Roman" w:cs="Times New Roman"/>
          <w:sz w:val="24"/>
          <w:szCs w:val="24"/>
        </w:rPr>
        <w:t>.</w:t>
      </w:r>
    </w:p>
    <w:p w14:paraId="6A9C8C17" w14:textId="4900F53D" w:rsidR="0026599C" w:rsidRDefault="0026599C" w:rsidP="0026599C">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Beyond the immediate benefits for participants, this initiative can serve as a model for future performing arts programs, inspiring other schools to adopt similar frameworks. Expanding inclusive arts opportunities ensures that all students, regardless of ability, have access to creative </w:t>
      </w:r>
      <w:r>
        <w:rPr>
          <w:rFonts w:ascii="Times New Roman" w:eastAsia="Times New Roman" w:hAnsi="Times New Roman" w:cs="Times New Roman"/>
          <w:sz w:val="24"/>
          <w:szCs w:val="24"/>
        </w:rPr>
        <w:lastRenderedPageBreak/>
        <w:t>expression and social connection. Future research could explore how this model impacts long-term academic and personal development, providing further insights into the benefits of structured peer mentorship.</w:t>
      </w:r>
    </w:p>
    <w:p w14:paraId="01670553" w14:textId="6316DA1B" w:rsidR="00C04D28" w:rsidRPr="00CC7001" w:rsidRDefault="0026599C" w:rsidP="0026599C">
      <w:pPr>
        <w:spacing w:line="480" w:lineRule="auto"/>
        <w:rPr>
          <w:rFonts w:ascii="Times New Roman" w:eastAsia="Times New Roman" w:hAnsi="Times New Roman" w:cs="Times New Roman"/>
          <w:color w:val="000000"/>
          <w:sz w:val="48"/>
          <w:szCs w:val="48"/>
          <w:lang w:val="en-US"/>
        </w:rPr>
      </w:pPr>
      <w:r>
        <w:rPr>
          <w:rFonts w:ascii="Times New Roman" w:eastAsia="Times New Roman" w:hAnsi="Times New Roman" w:cs="Times New Roman"/>
          <w:sz w:val="24"/>
          <w:szCs w:val="24"/>
        </w:rPr>
        <w:tab/>
        <w:t>By raising the curtain on inclusive musical theater, educators, students, and communities can collaborate to create a lasting culture of acceptance and artistic empowerment. This initiative not only enhances school engagement but also enriches the broader educational landscape by demonstrating that the arts are for everyone.</w:t>
      </w:r>
      <w:r w:rsidR="00C04D28" w:rsidRPr="00CC7001">
        <w:rPr>
          <w:sz w:val="48"/>
          <w:szCs w:val="48"/>
        </w:rPr>
        <w:br w:type="page"/>
      </w:r>
    </w:p>
    <w:p w14:paraId="6843EACF" w14:textId="77777777" w:rsidR="00C04D28" w:rsidRDefault="00C04D28" w:rsidP="00C04D28">
      <w:pPr>
        <w:spacing w:line="480" w:lineRule="auto"/>
        <w:ind w:left="720" w:hanging="72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References</w:t>
      </w:r>
    </w:p>
    <w:p w14:paraId="6AB62F1D" w14:textId="7DB58C81" w:rsidR="00C04D28" w:rsidRDefault="00C04D28" w:rsidP="00C04D28">
      <w:pPr>
        <w:spacing w:line="480" w:lineRule="auto"/>
        <w:ind w:left="720" w:hanging="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Bowen, D., &amp; Kisida, B. (2019). Investigating the causal effects of arts education experiences. </w:t>
      </w:r>
      <w:r>
        <w:rPr>
          <w:rFonts w:ascii="Times New Roman" w:eastAsia="Times New Roman" w:hAnsi="Times New Roman" w:cs="Times New Roman"/>
          <w:i/>
          <w:sz w:val="24"/>
          <w:szCs w:val="24"/>
        </w:rPr>
        <w:t>Brookings Institution</w:t>
      </w:r>
      <w:r>
        <w:rPr>
          <w:rFonts w:ascii="Times New Roman" w:eastAsia="Times New Roman" w:hAnsi="Times New Roman" w:cs="Times New Roman"/>
          <w:sz w:val="24"/>
          <w:szCs w:val="24"/>
        </w:rPr>
        <w:t xml:space="preserve">. </w:t>
      </w:r>
      <w:r w:rsidRPr="00811D5E">
        <w:rPr>
          <w:rFonts w:ascii="Times New Roman" w:eastAsia="Times New Roman" w:hAnsi="Times New Roman" w:cs="Times New Roman"/>
          <w:color w:val="000000" w:themeColor="text1"/>
          <w:sz w:val="24"/>
          <w:szCs w:val="24"/>
        </w:rPr>
        <w:t xml:space="preserve">https://doi.org/10.1002/pam.22449 </w:t>
      </w:r>
    </w:p>
    <w:p w14:paraId="1CB7423B" w14:textId="39E32AFB" w:rsidR="00C04D28" w:rsidRDefault="00C04D28" w:rsidP="00C04D28">
      <w:pPr>
        <w:spacing w:line="480" w:lineRule="auto"/>
        <w:ind w:left="720" w:hanging="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Carter, E.W. (2021). Peer support interventions in inclusive classrooms. In T.A. Collins &amp; R.O. Hawkins (Eds.), </w:t>
      </w:r>
      <w:r>
        <w:rPr>
          <w:rFonts w:ascii="Times New Roman" w:eastAsia="Times New Roman" w:hAnsi="Times New Roman" w:cs="Times New Roman"/>
          <w:i/>
          <w:sz w:val="24"/>
          <w:szCs w:val="24"/>
        </w:rPr>
        <w:t>Peers as change agents: A guide to implementing peer-mediated interventions in schools</w:t>
      </w:r>
      <w:r>
        <w:rPr>
          <w:rFonts w:ascii="Times New Roman" w:eastAsia="Times New Roman" w:hAnsi="Times New Roman" w:cs="Times New Roman"/>
          <w:sz w:val="24"/>
          <w:szCs w:val="24"/>
        </w:rPr>
        <w:t xml:space="preserve"> (pp. 137-148). Oxford University Press. </w:t>
      </w:r>
      <w:r w:rsidRPr="00811D5E">
        <w:rPr>
          <w:rFonts w:ascii="Times New Roman" w:eastAsia="Times New Roman" w:hAnsi="Times New Roman" w:cs="Times New Roman"/>
          <w:color w:val="000000" w:themeColor="text1"/>
          <w:sz w:val="24"/>
          <w:szCs w:val="24"/>
        </w:rPr>
        <w:t xml:space="preserve">https://doi.10.1093/med-psych/9780190068714.003.0012 </w:t>
      </w:r>
    </w:p>
    <w:p w14:paraId="1094071B" w14:textId="2B6B93CC" w:rsidR="00C04D28" w:rsidRDefault="00C04D28" w:rsidP="00C04D28">
      <w:pPr>
        <w:spacing w:line="480" w:lineRule="auto"/>
        <w:ind w:left="720" w:hanging="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Darrow, A., Novak. J, &amp; Swedberg, O. (2009). The effect of participation in a music mentorship program on the self-esteem and attitudes of at-risk students. </w:t>
      </w:r>
      <w:r>
        <w:rPr>
          <w:rFonts w:ascii="Times New Roman" w:eastAsia="Times New Roman" w:hAnsi="Times New Roman" w:cs="Times New Roman"/>
          <w:i/>
          <w:sz w:val="24"/>
          <w:szCs w:val="24"/>
        </w:rPr>
        <w:t>Australian Journal of Music Education, 2</w:t>
      </w:r>
      <w:r>
        <w:rPr>
          <w:rFonts w:ascii="Times New Roman" w:eastAsia="Times New Roman" w:hAnsi="Times New Roman" w:cs="Times New Roman"/>
          <w:sz w:val="24"/>
          <w:szCs w:val="24"/>
        </w:rPr>
        <w:t xml:space="preserve">, 5-16. Retrieved on March 12, 2025, from </w:t>
      </w:r>
      <w:r w:rsidRPr="00811D5E">
        <w:rPr>
          <w:rFonts w:ascii="Times New Roman" w:eastAsia="Times New Roman" w:hAnsi="Times New Roman" w:cs="Times New Roman"/>
          <w:color w:val="000000" w:themeColor="text1"/>
          <w:sz w:val="24"/>
          <w:szCs w:val="24"/>
        </w:rPr>
        <w:t xml:space="preserve">https://eric.ed.gov/?id=EJ912418 </w:t>
      </w:r>
    </w:p>
    <w:p w14:paraId="6F377F86" w14:textId="2CCD93E4" w:rsidR="00C04D28" w:rsidRDefault="00C04D28" w:rsidP="00C04D28">
      <w:pPr>
        <w:spacing w:line="480" w:lineRule="auto"/>
        <w:ind w:left="720" w:hanging="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Ewing, R. (2010). The arts and Australian education: Realizing potential. </w:t>
      </w:r>
      <w:r>
        <w:rPr>
          <w:rFonts w:ascii="Times New Roman" w:eastAsia="Times New Roman" w:hAnsi="Times New Roman" w:cs="Times New Roman"/>
          <w:i/>
          <w:sz w:val="24"/>
          <w:szCs w:val="24"/>
        </w:rPr>
        <w:t>Australian Council for Educational Research</w:t>
      </w:r>
      <w:r>
        <w:rPr>
          <w:rFonts w:ascii="Times New Roman" w:eastAsia="Times New Roman" w:hAnsi="Times New Roman" w:cs="Times New Roman"/>
          <w:sz w:val="24"/>
          <w:szCs w:val="24"/>
        </w:rPr>
        <w:t xml:space="preserve">. Downloaded on March 12, 2025, from </w:t>
      </w:r>
      <w:r w:rsidRPr="00811D5E">
        <w:rPr>
          <w:rFonts w:ascii="Times New Roman" w:eastAsia="Times New Roman" w:hAnsi="Times New Roman" w:cs="Times New Roman"/>
          <w:color w:val="000000" w:themeColor="text1"/>
          <w:sz w:val="24"/>
          <w:szCs w:val="24"/>
        </w:rPr>
        <w:t>h</w:t>
      </w:r>
      <w:r w:rsidRPr="00811D5E">
        <w:rPr>
          <w:rFonts w:ascii="Times New Roman" w:eastAsia="Times New Roman" w:hAnsi="Times New Roman" w:cs="Times New Roman"/>
          <w:color w:val="000000" w:themeColor="text1"/>
          <w:sz w:val="24"/>
          <w:szCs w:val="24"/>
        </w:rPr>
        <w:t>t</w:t>
      </w:r>
      <w:r w:rsidRPr="00811D5E">
        <w:rPr>
          <w:rFonts w:ascii="Times New Roman" w:eastAsia="Times New Roman" w:hAnsi="Times New Roman" w:cs="Times New Roman"/>
          <w:color w:val="000000" w:themeColor="text1"/>
          <w:sz w:val="24"/>
          <w:szCs w:val="24"/>
        </w:rPr>
        <w:t>tps://www.steinereducation.edu.au/wp-content/uploads/AER-58-Arts-in-the-Curriculum.pdf</w:t>
      </w:r>
    </w:p>
    <w:p w14:paraId="751535B1" w14:textId="15BC910E" w:rsidR="00C04D28" w:rsidRPr="00811D5E" w:rsidRDefault="00C04D28" w:rsidP="00C04D28">
      <w:pPr>
        <w:spacing w:line="480" w:lineRule="auto"/>
        <w:ind w:left="720" w:hanging="720"/>
        <w:rPr>
          <w:rFonts w:ascii="Times New Roman" w:eastAsia="Times New Roman" w:hAnsi="Times New Roman" w:cs="Times New Roman"/>
          <w:color w:val="000000" w:themeColor="text1"/>
          <w:sz w:val="24"/>
          <w:szCs w:val="24"/>
        </w:rPr>
      </w:pPr>
      <w:r>
        <w:rPr>
          <w:rFonts w:ascii="Times New Roman" w:eastAsia="Times New Roman" w:hAnsi="Times New Roman" w:cs="Times New Roman"/>
          <w:sz w:val="24"/>
          <w:szCs w:val="24"/>
        </w:rPr>
        <w:t xml:space="preserve">Garringer, M., Kupersmidt, J., Rhodes, J., Stetler, R., &amp; Tai, T. (2025). Elements of effective practice for mentoring. </w:t>
      </w:r>
      <w:r>
        <w:rPr>
          <w:rFonts w:ascii="Times New Roman" w:eastAsia="Times New Roman" w:hAnsi="Times New Roman" w:cs="Times New Roman"/>
          <w:i/>
          <w:sz w:val="24"/>
          <w:szCs w:val="24"/>
        </w:rPr>
        <w:t>MENTOR: The National Mentoring Partnership</w:t>
      </w:r>
      <w:r>
        <w:rPr>
          <w:rFonts w:ascii="Times New Roman" w:eastAsia="Times New Roman" w:hAnsi="Times New Roman" w:cs="Times New Roman"/>
          <w:sz w:val="24"/>
          <w:szCs w:val="24"/>
        </w:rPr>
        <w:t xml:space="preserve">. Downloaded on March 12, 2025, from </w:t>
      </w:r>
      <w:r w:rsidRPr="00811D5E">
        <w:rPr>
          <w:rFonts w:ascii="Times New Roman" w:eastAsia="Times New Roman" w:hAnsi="Times New Roman" w:cs="Times New Roman"/>
          <w:color w:val="000000" w:themeColor="text1"/>
          <w:sz w:val="24"/>
          <w:szCs w:val="24"/>
        </w:rPr>
        <w:t xml:space="preserve">https://www.mentoring.org/wp-content/uploads/2019/11/Final_Elements_Publication_Fourth.pdf </w:t>
      </w:r>
    </w:p>
    <w:p w14:paraId="1FABF364" w14:textId="5025BC68" w:rsidR="00C04D28" w:rsidRDefault="00C04D28" w:rsidP="00C04D28">
      <w:pPr>
        <w:spacing w:line="480" w:lineRule="auto"/>
        <w:ind w:left="720" w:hanging="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Garringer, M., &amp; MacRae, P. (2008). Building effective peer mentoring programs in schools: An introductory guide. </w:t>
      </w:r>
      <w:r>
        <w:rPr>
          <w:rFonts w:ascii="Times New Roman" w:eastAsia="Times New Roman" w:hAnsi="Times New Roman" w:cs="Times New Roman"/>
          <w:i/>
          <w:sz w:val="24"/>
          <w:szCs w:val="24"/>
        </w:rPr>
        <w:t>The Hamilton Fish Institute on School and Community Violence</w:t>
      </w:r>
      <w:r>
        <w:rPr>
          <w:rFonts w:ascii="Times New Roman" w:eastAsia="Times New Roman" w:hAnsi="Times New Roman" w:cs="Times New Roman"/>
          <w:sz w:val="24"/>
          <w:szCs w:val="24"/>
        </w:rPr>
        <w:t xml:space="preserve">. Downloaded on March 12, 2025, from </w:t>
      </w:r>
      <w:r w:rsidRPr="00811D5E">
        <w:rPr>
          <w:rFonts w:ascii="Times New Roman" w:eastAsia="Times New Roman" w:hAnsi="Times New Roman" w:cs="Times New Roman"/>
          <w:color w:val="000000" w:themeColor="text1"/>
          <w:sz w:val="24"/>
          <w:szCs w:val="24"/>
        </w:rPr>
        <w:t>https://educationnorthwest.org/sites/default/files/building-effective-peer-mentoring-programs-intro-guide.pdf</w:t>
      </w:r>
    </w:p>
    <w:p w14:paraId="19E15813" w14:textId="54C933B8" w:rsidR="00C04D28" w:rsidRDefault="00C04D28" w:rsidP="00C04D28">
      <w:pPr>
        <w:spacing w:line="480" w:lineRule="auto"/>
        <w:ind w:left="720" w:hanging="72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Hadley, B. (2020). Allyship in disability arts: Roles, relationships, and practices. </w:t>
      </w:r>
      <w:r>
        <w:rPr>
          <w:rFonts w:ascii="Times New Roman" w:eastAsia="Times New Roman" w:hAnsi="Times New Roman" w:cs="Times New Roman"/>
          <w:i/>
          <w:sz w:val="24"/>
          <w:szCs w:val="24"/>
        </w:rPr>
        <w:t>Research in Drama Education: The Journal of Applied Theatre and Performance, 25</w:t>
      </w:r>
      <w:r>
        <w:rPr>
          <w:rFonts w:ascii="Times New Roman" w:eastAsia="Times New Roman" w:hAnsi="Times New Roman" w:cs="Times New Roman"/>
          <w:sz w:val="24"/>
          <w:szCs w:val="24"/>
        </w:rPr>
        <w:t xml:space="preserve">(2), 178-194. </w:t>
      </w:r>
      <w:r w:rsidRPr="00811D5E">
        <w:rPr>
          <w:rFonts w:ascii="Times New Roman" w:eastAsia="Times New Roman" w:hAnsi="Times New Roman" w:cs="Times New Roman"/>
          <w:color w:val="000000" w:themeColor="text1"/>
          <w:sz w:val="24"/>
          <w:szCs w:val="24"/>
        </w:rPr>
        <w:t xml:space="preserve">https://doi.org/10.1080/13569783.2020.1729716 </w:t>
      </w:r>
    </w:p>
    <w:p w14:paraId="74FC8C64" w14:textId="10C7E0C2" w:rsidR="00C04D28" w:rsidRDefault="00C04D28" w:rsidP="00C04D28">
      <w:pPr>
        <w:spacing w:line="480" w:lineRule="auto"/>
        <w:ind w:left="720" w:hanging="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Jellison, J., Brown, L., &amp; Draper, E. (2015). Peer-assisted learning and interactions in inclusive music classrooms: Benefits, research, and applications. </w:t>
      </w:r>
      <w:r>
        <w:rPr>
          <w:rFonts w:ascii="Times New Roman" w:eastAsia="Times New Roman" w:hAnsi="Times New Roman" w:cs="Times New Roman"/>
          <w:i/>
          <w:sz w:val="24"/>
          <w:szCs w:val="24"/>
        </w:rPr>
        <w:t>General Music Today, 28</w:t>
      </w:r>
      <w:r>
        <w:rPr>
          <w:rFonts w:ascii="Times New Roman" w:eastAsia="Times New Roman" w:hAnsi="Times New Roman" w:cs="Times New Roman"/>
          <w:sz w:val="24"/>
          <w:szCs w:val="24"/>
        </w:rPr>
        <w:t xml:space="preserve">(3), 18-22. </w:t>
      </w:r>
      <w:r w:rsidRPr="00811D5E">
        <w:rPr>
          <w:rFonts w:ascii="Times New Roman" w:eastAsia="Times New Roman" w:hAnsi="Times New Roman" w:cs="Times New Roman"/>
          <w:color w:val="000000" w:themeColor="text1"/>
          <w:sz w:val="24"/>
          <w:szCs w:val="24"/>
        </w:rPr>
        <w:t xml:space="preserve">https://doi.org/10.1177/1048371314565456 </w:t>
      </w:r>
    </w:p>
    <w:p w14:paraId="17A2E113" w14:textId="0B1B859C" w:rsidR="00C04D28" w:rsidRDefault="00C04D28" w:rsidP="00C04D28">
      <w:pPr>
        <w:spacing w:line="480" w:lineRule="auto"/>
        <w:ind w:left="720" w:hanging="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McCarron, E., Curran, E., &amp; McConkey, R. (2022). Promoting the well-being of youth with disabilities through music mentoring. </w:t>
      </w:r>
      <w:r>
        <w:rPr>
          <w:rFonts w:ascii="Times New Roman" w:eastAsia="Times New Roman" w:hAnsi="Times New Roman" w:cs="Times New Roman"/>
          <w:i/>
          <w:sz w:val="24"/>
          <w:szCs w:val="24"/>
        </w:rPr>
        <w:t>Youth, 2</w:t>
      </w:r>
      <w:r>
        <w:rPr>
          <w:rFonts w:ascii="Times New Roman" w:eastAsia="Times New Roman" w:hAnsi="Times New Roman" w:cs="Times New Roman"/>
          <w:sz w:val="24"/>
          <w:szCs w:val="24"/>
        </w:rPr>
        <w:t xml:space="preserve">, 258-270. </w:t>
      </w:r>
      <w:r w:rsidRPr="00811D5E">
        <w:rPr>
          <w:rFonts w:ascii="Times New Roman" w:eastAsia="Times New Roman" w:hAnsi="Times New Roman" w:cs="Times New Roman"/>
          <w:color w:val="000000" w:themeColor="text1"/>
          <w:sz w:val="24"/>
          <w:szCs w:val="24"/>
        </w:rPr>
        <w:t xml:space="preserve">https://doi.org/10.3390/youth2030018 </w:t>
      </w:r>
    </w:p>
    <w:p w14:paraId="5EA15C69" w14:textId="028920AE" w:rsidR="00C04D28" w:rsidRPr="00811D5E" w:rsidRDefault="00C04D28" w:rsidP="00C04D28">
      <w:pPr>
        <w:spacing w:line="480" w:lineRule="auto"/>
        <w:ind w:left="720" w:hanging="720"/>
        <w:rPr>
          <w:rFonts w:ascii="Times New Roman" w:eastAsia="Times New Roman" w:hAnsi="Times New Roman" w:cs="Times New Roman"/>
          <w:color w:val="000000" w:themeColor="text1"/>
          <w:sz w:val="24"/>
          <w:szCs w:val="24"/>
        </w:rPr>
      </w:pPr>
      <w:r w:rsidRPr="00811D5E">
        <w:rPr>
          <w:rFonts w:ascii="Times New Roman" w:eastAsia="Times New Roman" w:hAnsi="Times New Roman" w:cs="Times New Roman"/>
          <w:color w:val="000000" w:themeColor="text1"/>
          <w:sz w:val="24"/>
          <w:szCs w:val="24"/>
        </w:rPr>
        <w:t xml:space="preserve">Müller, E., Nutting, D., &amp; Keddell, K. (2017). Understanding ArtAbility: Using qualitative methods to assess the impact of a multi-genre arts education program on middle-school students with autism and their neurotypical teen mentors. Youth Theatre Journal, 31(1), 48-74. https://doi.org/10.1080/08929092.2016.1225612 </w:t>
      </w:r>
    </w:p>
    <w:p w14:paraId="6F62FF0F" w14:textId="11D776FB" w:rsidR="00C04D28" w:rsidRDefault="00C04D28" w:rsidP="00C04D28">
      <w:pPr>
        <w:spacing w:line="480" w:lineRule="auto"/>
        <w:ind w:left="720" w:hanging="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Ogilvie, C.R. (2011). Step by step: Social skills instruction for students with autism spectrum disorder using video models and peer mentors. </w:t>
      </w:r>
      <w:r>
        <w:rPr>
          <w:rFonts w:ascii="Times New Roman" w:eastAsia="Times New Roman" w:hAnsi="Times New Roman" w:cs="Times New Roman"/>
          <w:i/>
          <w:sz w:val="24"/>
          <w:szCs w:val="24"/>
        </w:rPr>
        <w:t>TEACHING Exceptional Children, 43</w:t>
      </w:r>
      <w:r>
        <w:rPr>
          <w:rFonts w:ascii="Times New Roman" w:eastAsia="Times New Roman" w:hAnsi="Times New Roman" w:cs="Times New Roman"/>
          <w:sz w:val="24"/>
          <w:szCs w:val="24"/>
        </w:rPr>
        <w:t xml:space="preserve">(6), 20-26. </w:t>
      </w:r>
      <w:r w:rsidRPr="00811D5E">
        <w:rPr>
          <w:rFonts w:ascii="Times New Roman" w:eastAsia="Times New Roman" w:hAnsi="Times New Roman" w:cs="Times New Roman"/>
          <w:color w:val="000000" w:themeColor="text1"/>
          <w:sz w:val="24"/>
          <w:szCs w:val="24"/>
        </w:rPr>
        <w:t xml:space="preserve">https://doi.org/10.1177/004005991104300602 </w:t>
      </w:r>
    </w:p>
    <w:p w14:paraId="3CB2E676" w14:textId="36D8AEC6" w:rsidR="00C04D28" w:rsidRDefault="00C04D28" w:rsidP="00C04D28">
      <w:pPr>
        <w:spacing w:line="480" w:lineRule="auto"/>
        <w:ind w:left="720" w:hanging="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Samuel, K. (2024). The impact of creative arts on student engagement and learning. </w:t>
      </w:r>
      <w:r>
        <w:rPr>
          <w:rFonts w:ascii="Times New Roman" w:eastAsia="Times New Roman" w:hAnsi="Times New Roman" w:cs="Times New Roman"/>
          <w:i/>
          <w:sz w:val="24"/>
          <w:szCs w:val="24"/>
        </w:rPr>
        <w:t>Research Invention Journal of Research Education, 4</w:t>
      </w:r>
      <w:r>
        <w:rPr>
          <w:rFonts w:ascii="Times New Roman" w:eastAsia="Times New Roman" w:hAnsi="Times New Roman" w:cs="Times New Roman"/>
          <w:sz w:val="24"/>
          <w:szCs w:val="24"/>
        </w:rPr>
        <w:t xml:space="preserve">(1), 1-5. </w:t>
      </w:r>
      <w:r w:rsidRPr="00811D5E">
        <w:rPr>
          <w:rFonts w:ascii="Times New Roman" w:eastAsia="Times New Roman" w:hAnsi="Times New Roman" w:cs="Times New Roman"/>
          <w:color w:val="000000" w:themeColor="text1"/>
          <w:sz w:val="24"/>
          <w:szCs w:val="24"/>
        </w:rPr>
        <w:t xml:space="preserve">https://doi.org/10.59298/RIJRE/2024/4115 </w:t>
      </w:r>
    </w:p>
    <w:p w14:paraId="43DFD743" w14:textId="18B5C800" w:rsidR="00C04D28" w:rsidRDefault="00C04D28" w:rsidP="00C04D28">
      <w:pPr>
        <w:spacing w:line="480" w:lineRule="auto"/>
        <w:ind w:left="720" w:hanging="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VanWeelden, K., Heath-Reynolds, J., &amp; Leaman, S. (2016). The effect of a peer mentorship program on perceptions of success in choral ensembles: Pairing students with and without disabilities. </w:t>
      </w:r>
      <w:r>
        <w:rPr>
          <w:rFonts w:ascii="Times New Roman" w:eastAsia="Times New Roman" w:hAnsi="Times New Roman" w:cs="Times New Roman"/>
          <w:i/>
          <w:sz w:val="24"/>
          <w:szCs w:val="24"/>
        </w:rPr>
        <w:t>Applications of Research in Music Education, 36</w:t>
      </w:r>
      <w:r>
        <w:rPr>
          <w:rFonts w:ascii="Times New Roman" w:eastAsia="Times New Roman" w:hAnsi="Times New Roman" w:cs="Times New Roman"/>
          <w:sz w:val="24"/>
          <w:szCs w:val="24"/>
        </w:rPr>
        <w:t xml:space="preserve">(1), 37-43. </w:t>
      </w:r>
      <w:r w:rsidRPr="00811D5E">
        <w:rPr>
          <w:rFonts w:ascii="Times New Roman" w:eastAsia="Times New Roman" w:hAnsi="Times New Roman" w:cs="Times New Roman"/>
          <w:color w:val="000000" w:themeColor="text1"/>
          <w:sz w:val="24"/>
          <w:szCs w:val="24"/>
        </w:rPr>
        <w:t xml:space="preserve">https://doi.org/10.1177/8755123316675480 </w:t>
      </w:r>
    </w:p>
    <w:p w14:paraId="7BFB3375" w14:textId="228BF816" w:rsidR="00347220" w:rsidRPr="000569B9" w:rsidRDefault="00C04D28" w:rsidP="00C04D28">
      <w:pPr>
        <w:spacing w:line="480" w:lineRule="auto"/>
        <w:ind w:left="720" w:hanging="72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Williams, C.J., Chen, J.M., Quirion, A., &amp; Hoeft, F. (2024). Peer mentoring for students with learning disabilities: The importance of shared experience on students’ social and emotional development. </w:t>
      </w:r>
      <w:r>
        <w:rPr>
          <w:rFonts w:ascii="Times New Roman" w:eastAsia="Times New Roman" w:hAnsi="Times New Roman" w:cs="Times New Roman"/>
          <w:i/>
          <w:sz w:val="24"/>
          <w:szCs w:val="24"/>
        </w:rPr>
        <w:t>Frontier in Education, 9</w:t>
      </w:r>
      <w:r>
        <w:rPr>
          <w:rFonts w:ascii="Times New Roman" w:eastAsia="Times New Roman" w:hAnsi="Times New Roman" w:cs="Times New Roman"/>
          <w:sz w:val="24"/>
          <w:szCs w:val="24"/>
        </w:rPr>
        <w:t xml:space="preserve">, Article 1292717. </w:t>
      </w:r>
      <w:r w:rsidRPr="00811D5E">
        <w:rPr>
          <w:rFonts w:ascii="Times New Roman" w:eastAsia="Times New Roman" w:hAnsi="Times New Roman" w:cs="Times New Roman"/>
          <w:color w:val="000000" w:themeColor="text1"/>
          <w:sz w:val="24"/>
          <w:szCs w:val="24"/>
        </w:rPr>
        <w:t>https://doi.org/10.3389/feduc.129271</w:t>
      </w:r>
      <w:r w:rsidRPr="00811D5E">
        <w:rPr>
          <w:rFonts w:ascii="Times New Roman" w:eastAsia="Times New Roman" w:hAnsi="Times New Roman" w:cs="Times New Roman"/>
          <w:color w:val="000000" w:themeColor="text1"/>
          <w:sz w:val="24"/>
          <w:szCs w:val="24"/>
        </w:rPr>
        <w:t>7</w:t>
      </w:r>
      <w:r w:rsidRPr="00811D5E">
        <w:rPr>
          <w:rFonts w:ascii="Times New Roman" w:eastAsia="Times New Roman" w:hAnsi="Times New Roman" w:cs="Times New Roman"/>
          <w:color w:val="000000" w:themeColor="text1"/>
          <w:sz w:val="24"/>
          <w:szCs w:val="24"/>
        </w:rPr>
        <w:t xml:space="preserve"> </w:t>
      </w:r>
    </w:p>
    <w:sectPr w:rsidR="00347220" w:rsidRPr="000569B9">
      <w:headerReference w:type="even" r:id="rId7"/>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B20B96" w14:textId="77777777" w:rsidR="00A02D9D" w:rsidRDefault="00A02D9D" w:rsidP="000569B9">
      <w:pPr>
        <w:spacing w:line="240" w:lineRule="auto"/>
      </w:pPr>
      <w:r>
        <w:separator/>
      </w:r>
    </w:p>
  </w:endnote>
  <w:endnote w:type="continuationSeparator" w:id="0">
    <w:p w14:paraId="0425C301" w14:textId="77777777" w:rsidR="00A02D9D" w:rsidRDefault="00A02D9D" w:rsidP="000569B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0700CB" w14:textId="77777777" w:rsidR="00A02D9D" w:rsidRDefault="00A02D9D" w:rsidP="000569B9">
      <w:pPr>
        <w:spacing w:line="240" w:lineRule="auto"/>
      </w:pPr>
      <w:r>
        <w:separator/>
      </w:r>
    </w:p>
  </w:footnote>
  <w:footnote w:type="continuationSeparator" w:id="0">
    <w:p w14:paraId="34D1DA94" w14:textId="77777777" w:rsidR="00A02D9D" w:rsidRDefault="00A02D9D" w:rsidP="000569B9">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179230379"/>
      <w:docPartObj>
        <w:docPartGallery w:val="Page Numbers (Top of Page)"/>
        <w:docPartUnique/>
      </w:docPartObj>
    </w:sdtPr>
    <w:sdtContent>
      <w:p w14:paraId="65D43C25" w14:textId="18D50DBB" w:rsidR="000569B9" w:rsidRDefault="000569B9" w:rsidP="007206EA">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BFC3E3F" w14:textId="77777777" w:rsidR="000569B9" w:rsidRDefault="000569B9" w:rsidP="000569B9">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87755637"/>
      <w:docPartObj>
        <w:docPartGallery w:val="Page Numbers (Top of Page)"/>
        <w:docPartUnique/>
      </w:docPartObj>
    </w:sdtPr>
    <w:sdtContent>
      <w:p w14:paraId="17A17854" w14:textId="67764F8C" w:rsidR="000569B9" w:rsidRDefault="000569B9" w:rsidP="007206EA">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3161972C" w14:textId="123192E2" w:rsidR="000569B9" w:rsidRPr="000569B9" w:rsidRDefault="000569B9" w:rsidP="000569B9">
    <w:pPr>
      <w:pStyle w:val="Header"/>
      <w:ind w:right="360"/>
      <w:rPr>
        <w:rFonts w:ascii="Times New Roman" w:hAnsi="Times New Roman" w:cs="Times New Roman"/>
        <w:sz w:val="24"/>
        <w:szCs w:val="24"/>
      </w:rPr>
    </w:pPr>
    <w:r>
      <w:rPr>
        <w:rFonts w:ascii="Times New Roman" w:hAnsi="Times New Roman" w:cs="Times New Roman"/>
        <w:sz w:val="24"/>
        <w:szCs w:val="24"/>
      </w:rPr>
      <w:t>Action Research Project: Part 4 Draft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DF0343D"/>
    <w:multiLevelType w:val="multilevel"/>
    <w:tmpl w:val="AA38CF5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6D28540B"/>
    <w:multiLevelType w:val="multilevel"/>
    <w:tmpl w:val="07F0FDD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157695737">
    <w:abstractNumId w:val="1"/>
  </w:num>
  <w:num w:numId="2" w16cid:durableId="132797455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69B9"/>
    <w:rsid w:val="000569B9"/>
    <w:rsid w:val="000D15E7"/>
    <w:rsid w:val="00146C12"/>
    <w:rsid w:val="00224E41"/>
    <w:rsid w:val="0026599C"/>
    <w:rsid w:val="002B63E3"/>
    <w:rsid w:val="00347220"/>
    <w:rsid w:val="0039777A"/>
    <w:rsid w:val="003A5515"/>
    <w:rsid w:val="003B768A"/>
    <w:rsid w:val="003E3DEF"/>
    <w:rsid w:val="006749ED"/>
    <w:rsid w:val="00687AF6"/>
    <w:rsid w:val="00811D5E"/>
    <w:rsid w:val="0096311C"/>
    <w:rsid w:val="009D55B2"/>
    <w:rsid w:val="00A02D9D"/>
    <w:rsid w:val="00B11AEF"/>
    <w:rsid w:val="00BE3FAE"/>
    <w:rsid w:val="00C04D28"/>
    <w:rsid w:val="00CC7001"/>
    <w:rsid w:val="00DB0E8F"/>
    <w:rsid w:val="00EA49E9"/>
    <w:rsid w:val="00EC2E98"/>
    <w:rsid w:val="00EF70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F9E67AA"/>
  <w15:chartTrackingRefBased/>
  <w15:docId w15:val="{9716A607-E1B9-CC44-B0F2-AF10FFD6A5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569B9"/>
    <w:pPr>
      <w:spacing w:line="276" w:lineRule="auto"/>
    </w:pPr>
    <w:rPr>
      <w:rFonts w:ascii="Arial" w:eastAsia="Arial" w:hAnsi="Arial" w:cs="Arial"/>
      <w:kern w:val="0"/>
      <w:sz w:val="22"/>
      <w:szCs w:val="22"/>
      <w:lang w:val="en"/>
      <w14:ligatures w14:val="none"/>
    </w:rPr>
  </w:style>
  <w:style w:type="paragraph" w:styleId="Heading1">
    <w:name w:val="heading 1"/>
    <w:basedOn w:val="Normal"/>
    <w:next w:val="Normal"/>
    <w:link w:val="Heading1Char"/>
    <w:uiPriority w:val="9"/>
    <w:qFormat/>
    <w:rsid w:val="000569B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569B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569B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569B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569B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569B9"/>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569B9"/>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569B9"/>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569B9"/>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569B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569B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569B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569B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569B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569B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569B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569B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569B9"/>
    <w:rPr>
      <w:rFonts w:eastAsiaTheme="majorEastAsia" w:cstheme="majorBidi"/>
      <w:color w:val="272727" w:themeColor="text1" w:themeTint="D8"/>
    </w:rPr>
  </w:style>
  <w:style w:type="paragraph" w:styleId="Title">
    <w:name w:val="Title"/>
    <w:basedOn w:val="Normal"/>
    <w:next w:val="Normal"/>
    <w:link w:val="TitleChar"/>
    <w:uiPriority w:val="10"/>
    <w:qFormat/>
    <w:rsid w:val="000569B9"/>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569B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569B9"/>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569B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569B9"/>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0569B9"/>
    <w:rPr>
      <w:i/>
      <w:iCs/>
      <w:color w:val="404040" w:themeColor="text1" w:themeTint="BF"/>
    </w:rPr>
  </w:style>
  <w:style w:type="paragraph" w:styleId="ListParagraph">
    <w:name w:val="List Paragraph"/>
    <w:basedOn w:val="Normal"/>
    <w:uiPriority w:val="34"/>
    <w:qFormat/>
    <w:rsid w:val="000569B9"/>
    <w:pPr>
      <w:ind w:left="720"/>
      <w:contextualSpacing/>
    </w:pPr>
  </w:style>
  <w:style w:type="character" w:styleId="IntenseEmphasis">
    <w:name w:val="Intense Emphasis"/>
    <w:basedOn w:val="DefaultParagraphFont"/>
    <w:uiPriority w:val="21"/>
    <w:qFormat/>
    <w:rsid w:val="000569B9"/>
    <w:rPr>
      <w:i/>
      <w:iCs/>
      <w:color w:val="0F4761" w:themeColor="accent1" w:themeShade="BF"/>
    </w:rPr>
  </w:style>
  <w:style w:type="paragraph" w:styleId="IntenseQuote">
    <w:name w:val="Intense Quote"/>
    <w:basedOn w:val="Normal"/>
    <w:next w:val="Normal"/>
    <w:link w:val="IntenseQuoteChar"/>
    <w:uiPriority w:val="30"/>
    <w:qFormat/>
    <w:rsid w:val="000569B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569B9"/>
    <w:rPr>
      <w:i/>
      <w:iCs/>
      <w:color w:val="0F4761" w:themeColor="accent1" w:themeShade="BF"/>
    </w:rPr>
  </w:style>
  <w:style w:type="character" w:styleId="IntenseReference">
    <w:name w:val="Intense Reference"/>
    <w:basedOn w:val="DefaultParagraphFont"/>
    <w:uiPriority w:val="32"/>
    <w:qFormat/>
    <w:rsid w:val="000569B9"/>
    <w:rPr>
      <w:b/>
      <w:bCs/>
      <w:smallCaps/>
      <w:color w:val="0F4761" w:themeColor="accent1" w:themeShade="BF"/>
      <w:spacing w:val="5"/>
    </w:rPr>
  </w:style>
  <w:style w:type="paragraph" w:styleId="Header">
    <w:name w:val="header"/>
    <w:basedOn w:val="Normal"/>
    <w:link w:val="HeaderChar"/>
    <w:uiPriority w:val="99"/>
    <w:unhideWhenUsed/>
    <w:rsid w:val="000569B9"/>
    <w:pPr>
      <w:tabs>
        <w:tab w:val="center" w:pos="4680"/>
        <w:tab w:val="right" w:pos="9360"/>
      </w:tabs>
      <w:spacing w:line="240" w:lineRule="auto"/>
    </w:pPr>
  </w:style>
  <w:style w:type="character" w:customStyle="1" w:styleId="HeaderChar">
    <w:name w:val="Header Char"/>
    <w:basedOn w:val="DefaultParagraphFont"/>
    <w:link w:val="Header"/>
    <w:uiPriority w:val="99"/>
    <w:rsid w:val="000569B9"/>
    <w:rPr>
      <w:rFonts w:ascii="Arial" w:eastAsia="Arial" w:hAnsi="Arial" w:cs="Arial"/>
      <w:kern w:val="0"/>
      <w:sz w:val="22"/>
      <w:szCs w:val="22"/>
      <w:lang w:val="en"/>
      <w14:ligatures w14:val="none"/>
    </w:rPr>
  </w:style>
  <w:style w:type="paragraph" w:styleId="Footer">
    <w:name w:val="footer"/>
    <w:basedOn w:val="Normal"/>
    <w:link w:val="FooterChar"/>
    <w:uiPriority w:val="99"/>
    <w:unhideWhenUsed/>
    <w:rsid w:val="000569B9"/>
    <w:pPr>
      <w:tabs>
        <w:tab w:val="center" w:pos="4680"/>
        <w:tab w:val="right" w:pos="9360"/>
      </w:tabs>
      <w:spacing w:line="240" w:lineRule="auto"/>
    </w:pPr>
  </w:style>
  <w:style w:type="character" w:customStyle="1" w:styleId="FooterChar">
    <w:name w:val="Footer Char"/>
    <w:basedOn w:val="DefaultParagraphFont"/>
    <w:link w:val="Footer"/>
    <w:uiPriority w:val="99"/>
    <w:rsid w:val="000569B9"/>
    <w:rPr>
      <w:rFonts w:ascii="Arial" w:eastAsia="Arial" w:hAnsi="Arial" w:cs="Arial"/>
      <w:kern w:val="0"/>
      <w:sz w:val="22"/>
      <w:szCs w:val="22"/>
      <w:lang w:val="en"/>
      <w14:ligatures w14:val="none"/>
    </w:rPr>
  </w:style>
  <w:style w:type="character" w:styleId="PageNumber">
    <w:name w:val="page number"/>
    <w:basedOn w:val="DefaultParagraphFont"/>
    <w:uiPriority w:val="99"/>
    <w:semiHidden/>
    <w:unhideWhenUsed/>
    <w:rsid w:val="000569B9"/>
  </w:style>
  <w:style w:type="character" w:styleId="CommentReference">
    <w:name w:val="annotation reference"/>
    <w:basedOn w:val="DefaultParagraphFont"/>
    <w:uiPriority w:val="99"/>
    <w:semiHidden/>
    <w:unhideWhenUsed/>
    <w:rsid w:val="00C04D28"/>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84</TotalTime>
  <Pages>23</Pages>
  <Words>6016</Words>
  <Characters>34295</Characters>
  <Application>Microsoft Office Word</Application>
  <DocSecurity>0</DocSecurity>
  <Lines>285</Lines>
  <Paragraphs>80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40231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Erin Emery</dc:creator>
  <cp:keywords/>
  <dc:description/>
  <cp:lastModifiedBy>Erin Emery</cp:lastModifiedBy>
  <cp:revision>51</cp:revision>
  <dcterms:created xsi:type="dcterms:W3CDTF">2025-03-18T00:30:00Z</dcterms:created>
  <dcterms:modified xsi:type="dcterms:W3CDTF">2025-04-09T22:58:00Z</dcterms:modified>
</cp:coreProperties>
</file>